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88E9" w14:textId="77777777" w:rsidR="00D21F43" w:rsidRPr="00544F30" w:rsidRDefault="00D21F43" w:rsidP="00D21F43">
      <w:pPr>
        <w:rPr>
          <w:rFonts w:ascii="Arial" w:eastAsia="Calibri" w:hAnsi="Arial" w:cs="Arial"/>
          <w:b/>
          <w:color w:val="FF0000"/>
          <w:lang w:eastAsia="en-US"/>
        </w:rPr>
      </w:pPr>
    </w:p>
    <w:p w14:paraId="5C27090B" w14:textId="77777777" w:rsidR="00D21F43" w:rsidRPr="00544F30" w:rsidRDefault="00D21F43" w:rsidP="00D21F43">
      <w:pPr>
        <w:jc w:val="right"/>
        <w:rPr>
          <w:rFonts w:ascii="Arial" w:eastAsia="Calibri" w:hAnsi="Arial" w:cs="Arial"/>
          <w:color w:val="FF0000"/>
          <w:sz w:val="22"/>
          <w:szCs w:val="22"/>
          <w:lang w:eastAsia="en-US"/>
        </w:rPr>
      </w:pPr>
    </w:p>
    <w:p w14:paraId="6092BFE3"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hAnsi="Arial" w:cs="Arial"/>
          <w:noProof/>
          <w:color w:val="FF0000"/>
        </w:rPr>
      </w:pPr>
    </w:p>
    <w:p w14:paraId="78D85FF2"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hAnsi="Arial" w:cs="Arial"/>
          <w:noProof/>
          <w:color w:val="FF0000"/>
        </w:rPr>
      </w:pPr>
    </w:p>
    <w:p w14:paraId="1FE5CA1E"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color w:val="FF0000"/>
          <w:sz w:val="40"/>
          <w:szCs w:val="40"/>
          <w:lang w:eastAsia="en-US"/>
        </w:rPr>
      </w:pPr>
      <w:r w:rsidRPr="00544F30">
        <w:rPr>
          <w:rFonts w:ascii="Arial" w:hAnsi="Arial" w:cs="Arial"/>
          <w:noProof/>
          <w:color w:val="FF0000"/>
        </w:rPr>
        <w:drawing>
          <wp:inline distT="0" distB="0" distL="0" distR="0" wp14:anchorId="3E03C1D7" wp14:editId="3130183E">
            <wp:extent cx="1476375" cy="1400175"/>
            <wp:effectExtent l="19050" t="0" r="9525" b="0"/>
            <wp:docPr id="1" name="Picture 3" descr="C:\Documents and Settings\re080228\My Documents\My Pictures\WG_positive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080228\My Documents\My Pictures\WG_positive_40mm.jpg"/>
                    <pic:cNvPicPr>
                      <a:picLocks noChangeAspect="1" noChangeArrowheads="1"/>
                    </pic:cNvPicPr>
                  </pic:nvPicPr>
                  <pic:blipFill>
                    <a:blip r:embed="rId8"/>
                    <a:srcRect/>
                    <a:stretch>
                      <a:fillRect/>
                    </a:stretch>
                  </pic:blipFill>
                  <pic:spPr bwMode="auto">
                    <a:xfrm>
                      <a:off x="0" y="0"/>
                      <a:ext cx="1476375" cy="1400175"/>
                    </a:xfrm>
                    <a:prstGeom prst="rect">
                      <a:avLst/>
                    </a:prstGeom>
                    <a:noFill/>
                    <a:ln w="9525">
                      <a:noFill/>
                      <a:miter lim="800000"/>
                      <a:headEnd/>
                      <a:tailEnd/>
                    </a:ln>
                  </pic:spPr>
                </pic:pic>
              </a:graphicData>
            </a:graphic>
          </wp:inline>
        </w:drawing>
      </w:r>
    </w:p>
    <w:p w14:paraId="4D879679"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color w:val="FF0000"/>
          <w:sz w:val="40"/>
          <w:szCs w:val="40"/>
          <w:lang w:eastAsia="en-US"/>
        </w:rPr>
      </w:pPr>
    </w:p>
    <w:p w14:paraId="65A474EC"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color w:val="FF0000"/>
          <w:sz w:val="40"/>
          <w:szCs w:val="40"/>
          <w:lang w:eastAsia="en-US"/>
        </w:rPr>
      </w:pPr>
    </w:p>
    <w:p w14:paraId="7126812F"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32"/>
          <w:szCs w:val="32"/>
          <w:lang w:eastAsia="en-US"/>
        </w:rPr>
      </w:pPr>
      <w:r w:rsidRPr="00544F30">
        <w:rPr>
          <w:rFonts w:ascii="Arial" w:eastAsia="Calibri" w:hAnsi="Arial" w:cs="Arial"/>
          <w:b/>
          <w:sz w:val="32"/>
          <w:szCs w:val="32"/>
          <w:lang w:eastAsia="en-US"/>
        </w:rPr>
        <w:t>Key Performance Indicators for substance misuse treatment services in Wales.</w:t>
      </w:r>
    </w:p>
    <w:p w14:paraId="6D36E726"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40"/>
          <w:szCs w:val="40"/>
          <w:lang w:eastAsia="en-US"/>
        </w:rPr>
      </w:pPr>
    </w:p>
    <w:p w14:paraId="6E4E9F67" w14:textId="77777777" w:rsidR="00D21F43" w:rsidRPr="00544F30" w:rsidRDefault="00A02099" w:rsidP="00A02099">
      <w:pPr>
        <w:pBdr>
          <w:top w:val="single" w:sz="4" w:space="1" w:color="auto"/>
          <w:left w:val="single" w:sz="4" w:space="4" w:color="auto"/>
          <w:bottom w:val="single" w:sz="4" w:space="1" w:color="auto"/>
          <w:right w:val="single" w:sz="4" w:space="4" w:color="auto"/>
        </w:pBdr>
        <w:tabs>
          <w:tab w:val="left" w:pos="5295"/>
        </w:tabs>
        <w:rPr>
          <w:rFonts w:ascii="Arial" w:eastAsia="Calibri" w:hAnsi="Arial" w:cs="Arial"/>
          <w:b/>
          <w:sz w:val="40"/>
          <w:szCs w:val="40"/>
          <w:lang w:eastAsia="en-US"/>
        </w:rPr>
      </w:pPr>
      <w:r>
        <w:rPr>
          <w:rFonts w:ascii="Arial" w:eastAsia="Calibri" w:hAnsi="Arial" w:cs="Arial"/>
          <w:b/>
          <w:sz w:val="40"/>
          <w:szCs w:val="40"/>
          <w:lang w:eastAsia="en-US"/>
        </w:rPr>
        <w:tab/>
      </w:r>
    </w:p>
    <w:p w14:paraId="59462355"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40"/>
          <w:szCs w:val="40"/>
          <w:lang w:eastAsia="en-US"/>
        </w:rPr>
      </w:pPr>
    </w:p>
    <w:p w14:paraId="72C669E3"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40"/>
          <w:szCs w:val="40"/>
          <w:lang w:eastAsia="en-US"/>
        </w:rPr>
      </w:pPr>
    </w:p>
    <w:p w14:paraId="40D92CE4"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40"/>
          <w:szCs w:val="40"/>
          <w:lang w:eastAsia="en-US"/>
        </w:rPr>
      </w:pPr>
    </w:p>
    <w:p w14:paraId="669BF161"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40"/>
          <w:szCs w:val="40"/>
          <w:lang w:eastAsia="en-US"/>
        </w:rPr>
      </w:pPr>
    </w:p>
    <w:p w14:paraId="07880C2E"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40"/>
          <w:szCs w:val="40"/>
          <w:lang w:eastAsia="en-US"/>
        </w:rPr>
      </w:pPr>
    </w:p>
    <w:p w14:paraId="0947F072"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40"/>
          <w:szCs w:val="40"/>
          <w:lang w:eastAsia="en-US"/>
        </w:rPr>
      </w:pPr>
    </w:p>
    <w:p w14:paraId="27DFED94"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40"/>
          <w:szCs w:val="40"/>
          <w:lang w:eastAsia="en-US"/>
        </w:rPr>
      </w:pPr>
    </w:p>
    <w:p w14:paraId="54AA0807"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sz w:val="40"/>
          <w:szCs w:val="40"/>
          <w:lang w:eastAsia="en-US"/>
        </w:rPr>
      </w:pPr>
    </w:p>
    <w:p w14:paraId="50F3341F" w14:textId="3C5BB8EA" w:rsidR="00D21F43" w:rsidRDefault="009F4171" w:rsidP="009F4171">
      <w:pPr>
        <w:pBdr>
          <w:top w:val="single" w:sz="4" w:space="1" w:color="auto"/>
          <w:left w:val="single" w:sz="4" w:space="4" w:color="auto"/>
          <w:bottom w:val="single" w:sz="4" w:space="1" w:color="auto"/>
          <w:right w:val="single" w:sz="4" w:space="4" w:color="auto"/>
        </w:pBdr>
        <w:jc w:val="right"/>
        <w:rPr>
          <w:rFonts w:asciiTheme="minorHAnsi" w:eastAsia="Calibri" w:hAnsiTheme="minorHAnsi" w:cs="Arial"/>
          <w:b/>
          <w:lang w:eastAsia="en-US"/>
        </w:rPr>
      </w:pPr>
      <w:r w:rsidRPr="009F4171">
        <w:rPr>
          <w:rFonts w:asciiTheme="minorHAnsi" w:eastAsia="Calibri" w:hAnsiTheme="minorHAnsi" w:cs="Arial"/>
          <w:b/>
          <w:lang w:eastAsia="en-US"/>
        </w:rPr>
        <w:t>Version:</w:t>
      </w:r>
      <w:r>
        <w:rPr>
          <w:rFonts w:asciiTheme="minorHAnsi" w:eastAsia="Calibri" w:hAnsiTheme="minorHAnsi" w:cs="Arial"/>
          <w:b/>
          <w:lang w:eastAsia="en-US"/>
        </w:rPr>
        <w:t xml:space="preserve"> 1.</w:t>
      </w:r>
      <w:r w:rsidR="000C1B88">
        <w:rPr>
          <w:rFonts w:asciiTheme="minorHAnsi" w:eastAsia="Calibri" w:hAnsiTheme="minorHAnsi" w:cs="Arial"/>
          <w:b/>
          <w:lang w:eastAsia="en-US"/>
        </w:rPr>
        <w:t>6</w:t>
      </w:r>
    </w:p>
    <w:p w14:paraId="6CBF9F8F" w14:textId="4B2D8AD2" w:rsidR="009F4171" w:rsidRDefault="009F4171" w:rsidP="009F4171">
      <w:pPr>
        <w:pBdr>
          <w:top w:val="single" w:sz="4" w:space="1" w:color="auto"/>
          <w:left w:val="single" w:sz="4" w:space="4" w:color="auto"/>
          <w:bottom w:val="single" w:sz="4" w:space="1" w:color="auto"/>
          <w:right w:val="single" w:sz="4" w:space="4" w:color="auto"/>
        </w:pBdr>
        <w:jc w:val="right"/>
        <w:rPr>
          <w:rFonts w:asciiTheme="minorHAnsi" w:eastAsia="Calibri" w:hAnsiTheme="minorHAnsi" w:cs="Arial"/>
          <w:b/>
          <w:lang w:eastAsia="en-US"/>
        </w:rPr>
      </w:pPr>
      <w:r>
        <w:rPr>
          <w:rFonts w:asciiTheme="minorHAnsi" w:eastAsia="Calibri" w:hAnsiTheme="minorHAnsi" w:cs="Arial"/>
          <w:b/>
          <w:lang w:eastAsia="en-US"/>
        </w:rPr>
        <w:t>Author</w:t>
      </w:r>
      <w:r w:rsidR="000C1B88">
        <w:rPr>
          <w:rFonts w:asciiTheme="minorHAnsi" w:eastAsia="Calibri" w:hAnsiTheme="minorHAnsi" w:cs="Arial"/>
          <w:b/>
          <w:lang w:eastAsia="en-US"/>
        </w:rPr>
        <w:t>: Digital Health &amp; Care Wales</w:t>
      </w:r>
    </w:p>
    <w:p w14:paraId="56343226" w14:textId="09873BAA" w:rsidR="009F4171" w:rsidRDefault="009F4171" w:rsidP="009F4171">
      <w:pPr>
        <w:pBdr>
          <w:top w:val="single" w:sz="4" w:space="1" w:color="auto"/>
          <w:left w:val="single" w:sz="4" w:space="4" w:color="auto"/>
          <w:bottom w:val="single" w:sz="4" w:space="1" w:color="auto"/>
          <w:right w:val="single" w:sz="4" w:space="4" w:color="auto"/>
        </w:pBdr>
        <w:jc w:val="right"/>
        <w:rPr>
          <w:rFonts w:asciiTheme="minorHAnsi" w:eastAsia="Calibri" w:hAnsiTheme="minorHAnsi" w:cs="Arial"/>
          <w:b/>
          <w:lang w:eastAsia="en-US"/>
        </w:rPr>
      </w:pPr>
      <w:r>
        <w:rPr>
          <w:rFonts w:asciiTheme="minorHAnsi" w:eastAsia="Calibri" w:hAnsiTheme="minorHAnsi" w:cs="Arial"/>
          <w:b/>
          <w:lang w:eastAsia="en-US"/>
        </w:rPr>
        <w:t>Publication Date: 1</w:t>
      </w:r>
      <w:r w:rsidRPr="009F4171">
        <w:rPr>
          <w:rFonts w:asciiTheme="minorHAnsi" w:eastAsia="Calibri" w:hAnsiTheme="minorHAnsi" w:cs="Arial"/>
          <w:b/>
          <w:vertAlign w:val="superscript"/>
          <w:lang w:eastAsia="en-US"/>
        </w:rPr>
        <w:t>st</w:t>
      </w:r>
      <w:r>
        <w:rPr>
          <w:rFonts w:asciiTheme="minorHAnsi" w:eastAsia="Calibri" w:hAnsiTheme="minorHAnsi" w:cs="Arial"/>
          <w:b/>
          <w:lang w:eastAsia="en-US"/>
        </w:rPr>
        <w:t xml:space="preserve"> </w:t>
      </w:r>
      <w:r w:rsidR="006F4073">
        <w:rPr>
          <w:rFonts w:asciiTheme="minorHAnsi" w:eastAsia="Calibri" w:hAnsiTheme="minorHAnsi" w:cs="Arial"/>
          <w:b/>
          <w:lang w:eastAsia="en-US"/>
        </w:rPr>
        <w:t>April 20</w:t>
      </w:r>
      <w:r w:rsidR="00A92397">
        <w:rPr>
          <w:rFonts w:asciiTheme="minorHAnsi" w:eastAsia="Calibri" w:hAnsiTheme="minorHAnsi" w:cs="Arial"/>
          <w:b/>
          <w:lang w:eastAsia="en-US"/>
        </w:rPr>
        <w:t>21</w:t>
      </w:r>
    </w:p>
    <w:p w14:paraId="644F39F4" w14:textId="42FECC7F" w:rsidR="009F4171" w:rsidRPr="009F4171" w:rsidRDefault="009F4171" w:rsidP="009F4171">
      <w:pPr>
        <w:pBdr>
          <w:top w:val="single" w:sz="4" w:space="1" w:color="auto"/>
          <w:left w:val="single" w:sz="4" w:space="4" w:color="auto"/>
          <w:bottom w:val="single" w:sz="4" w:space="1" w:color="auto"/>
          <w:right w:val="single" w:sz="4" w:space="4" w:color="auto"/>
        </w:pBdr>
        <w:jc w:val="right"/>
        <w:rPr>
          <w:rFonts w:asciiTheme="minorHAnsi" w:eastAsia="Calibri" w:hAnsiTheme="minorHAnsi" w:cs="Arial"/>
          <w:b/>
          <w:lang w:eastAsia="en-US"/>
        </w:rPr>
      </w:pPr>
      <w:r>
        <w:rPr>
          <w:rFonts w:asciiTheme="minorHAnsi" w:eastAsia="Calibri" w:hAnsiTheme="minorHAnsi" w:cs="Arial"/>
          <w:b/>
          <w:lang w:eastAsia="en-US"/>
        </w:rPr>
        <w:t xml:space="preserve">Review Date: </w:t>
      </w:r>
      <w:r w:rsidR="00452484">
        <w:rPr>
          <w:rFonts w:asciiTheme="minorHAnsi" w:eastAsia="Calibri" w:hAnsiTheme="minorHAnsi" w:cs="Arial"/>
          <w:b/>
          <w:lang w:eastAsia="en-US"/>
        </w:rPr>
        <w:t>1</w:t>
      </w:r>
      <w:r w:rsidR="00452484" w:rsidRPr="00452484">
        <w:rPr>
          <w:rFonts w:asciiTheme="minorHAnsi" w:eastAsia="Calibri" w:hAnsiTheme="minorHAnsi" w:cs="Arial"/>
          <w:b/>
          <w:vertAlign w:val="superscript"/>
          <w:lang w:eastAsia="en-US"/>
        </w:rPr>
        <w:t>st</w:t>
      </w:r>
      <w:r w:rsidR="00452484">
        <w:rPr>
          <w:rFonts w:asciiTheme="minorHAnsi" w:eastAsia="Calibri" w:hAnsiTheme="minorHAnsi" w:cs="Arial"/>
          <w:b/>
          <w:lang w:eastAsia="en-US"/>
        </w:rPr>
        <w:t xml:space="preserve"> April </w:t>
      </w:r>
      <w:r w:rsidR="006F4073">
        <w:rPr>
          <w:rFonts w:asciiTheme="minorHAnsi" w:eastAsia="Calibri" w:hAnsiTheme="minorHAnsi" w:cs="Arial"/>
          <w:b/>
          <w:lang w:eastAsia="en-US"/>
        </w:rPr>
        <w:t>202</w:t>
      </w:r>
      <w:r w:rsidR="00A92397">
        <w:rPr>
          <w:rFonts w:asciiTheme="minorHAnsi" w:eastAsia="Calibri" w:hAnsiTheme="minorHAnsi" w:cs="Arial"/>
          <w:b/>
          <w:lang w:eastAsia="en-US"/>
        </w:rPr>
        <w:t>2</w:t>
      </w:r>
    </w:p>
    <w:p w14:paraId="1D235936" w14:textId="77777777" w:rsidR="00D21F43" w:rsidRPr="009F4171" w:rsidRDefault="00D21F43" w:rsidP="00D21F43">
      <w:pPr>
        <w:pBdr>
          <w:top w:val="single" w:sz="4" w:space="1" w:color="auto"/>
          <w:left w:val="single" w:sz="4" w:space="4" w:color="auto"/>
          <w:bottom w:val="single" w:sz="4" w:space="1" w:color="auto"/>
          <w:right w:val="single" w:sz="4" w:space="4" w:color="auto"/>
        </w:pBdr>
        <w:jc w:val="center"/>
        <w:rPr>
          <w:rFonts w:asciiTheme="minorHAnsi" w:eastAsia="Calibri" w:hAnsiTheme="minorHAnsi" w:cs="Arial"/>
          <w:b/>
          <w:lang w:eastAsia="en-US"/>
        </w:rPr>
      </w:pPr>
    </w:p>
    <w:p w14:paraId="6320962F" w14:textId="77777777" w:rsidR="00D21F43" w:rsidRPr="00544F30" w:rsidRDefault="00D21F43" w:rsidP="00D21F43">
      <w:pPr>
        <w:pBdr>
          <w:top w:val="single" w:sz="4" w:space="1" w:color="auto"/>
          <w:left w:val="single" w:sz="4" w:space="4" w:color="auto"/>
          <w:bottom w:val="single" w:sz="4" w:space="1" w:color="auto"/>
          <w:right w:val="single" w:sz="4" w:space="4" w:color="auto"/>
        </w:pBdr>
        <w:jc w:val="right"/>
        <w:rPr>
          <w:rFonts w:ascii="Arial" w:eastAsia="Calibri" w:hAnsi="Arial" w:cs="Arial"/>
          <w:b/>
          <w:color w:val="FF0000"/>
          <w:lang w:eastAsia="en-US"/>
        </w:rPr>
      </w:pPr>
    </w:p>
    <w:p w14:paraId="742E7B7D" w14:textId="77777777" w:rsidR="00D21F43" w:rsidRPr="00544F30" w:rsidRDefault="00D21F43" w:rsidP="00D21F43">
      <w:pPr>
        <w:pBdr>
          <w:top w:val="single" w:sz="4" w:space="1" w:color="auto"/>
          <w:left w:val="single" w:sz="4" w:space="4" w:color="auto"/>
          <w:bottom w:val="single" w:sz="4" w:space="1" w:color="auto"/>
          <w:right w:val="single" w:sz="4" w:space="4" w:color="auto"/>
        </w:pBdr>
        <w:jc w:val="center"/>
        <w:rPr>
          <w:rFonts w:ascii="Arial" w:eastAsia="Calibri" w:hAnsi="Arial" w:cs="Arial"/>
          <w:b/>
          <w:color w:val="FF0000"/>
          <w:sz w:val="40"/>
          <w:szCs w:val="40"/>
          <w:lang w:eastAsia="en-US"/>
        </w:rPr>
      </w:pPr>
    </w:p>
    <w:p w14:paraId="36445243" w14:textId="77777777" w:rsidR="00D21F43" w:rsidRPr="00544F30" w:rsidRDefault="00D21F43" w:rsidP="00D21F43">
      <w:pPr>
        <w:jc w:val="center"/>
        <w:rPr>
          <w:rFonts w:ascii="Arial" w:eastAsia="Calibri" w:hAnsi="Arial" w:cs="Arial"/>
          <w:b/>
          <w:color w:val="FF0000"/>
          <w:sz w:val="40"/>
          <w:szCs w:val="40"/>
          <w:lang w:eastAsia="en-US"/>
        </w:rPr>
      </w:pPr>
    </w:p>
    <w:p w14:paraId="7614A4E3" w14:textId="77777777" w:rsidR="00D21F43" w:rsidRPr="00544F30" w:rsidRDefault="00D21F43" w:rsidP="00D21F43">
      <w:pPr>
        <w:jc w:val="center"/>
        <w:rPr>
          <w:rFonts w:ascii="Arial" w:eastAsia="Calibri" w:hAnsi="Arial" w:cs="Arial"/>
          <w:b/>
          <w:color w:val="FF0000"/>
          <w:sz w:val="40"/>
          <w:szCs w:val="40"/>
          <w:lang w:eastAsia="en-US"/>
        </w:rPr>
      </w:pPr>
    </w:p>
    <w:p w14:paraId="11067C6C" w14:textId="77777777" w:rsidR="00D21F43" w:rsidRPr="00544F30" w:rsidRDefault="00D21F43" w:rsidP="00D21F43">
      <w:pPr>
        <w:jc w:val="center"/>
        <w:rPr>
          <w:rFonts w:ascii="Arial" w:eastAsia="Calibri" w:hAnsi="Arial" w:cs="Arial"/>
          <w:b/>
          <w:color w:val="FF0000"/>
          <w:sz w:val="40"/>
          <w:szCs w:val="40"/>
          <w:lang w:eastAsia="en-US"/>
        </w:rPr>
      </w:pPr>
    </w:p>
    <w:p w14:paraId="40DFFAB3" w14:textId="77777777" w:rsidR="00D21F43" w:rsidRDefault="00D21F43" w:rsidP="00D21F43">
      <w:pPr>
        <w:jc w:val="both"/>
        <w:rPr>
          <w:rFonts w:ascii="Arial" w:eastAsia="Calibri" w:hAnsi="Arial" w:cs="Arial"/>
          <w:b/>
          <w:lang w:eastAsia="en-US"/>
        </w:rPr>
      </w:pPr>
    </w:p>
    <w:p w14:paraId="6BA17918" w14:textId="77777777" w:rsidR="00D21F43" w:rsidRDefault="00D21F43" w:rsidP="00D21F43">
      <w:pPr>
        <w:jc w:val="both"/>
        <w:rPr>
          <w:rFonts w:ascii="Arial" w:eastAsia="Calibri" w:hAnsi="Arial" w:cs="Arial"/>
          <w:b/>
          <w:lang w:eastAsia="en-US"/>
        </w:rPr>
      </w:pPr>
    </w:p>
    <w:p w14:paraId="4C010644" w14:textId="77777777" w:rsidR="009F4171" w:rsidRDefault="009F4171" w:rsidP="00D21F43">
      <w:pPr>
        <w:ind w:right="-908"/>
        <w:jc w:val="both"/>
        <w:rPr>
          <w:rFonts w:ascii="Arial" w:eastAsia="Calibri" w:hAnsi="Arial" w:cs="Arial"/>
          <w:b/>
          <w:lang w:eastAsia="en-US"/>
        </w:rPr>
      </w:pPr>
    </w:p>
    <w:p w14:paraId="3905528E" w14:textId="77777777" w:rsidR="009F4171" w:rsidRDefault="009F4171" w:rsidP="00D21F43">
      <w:pPr>
        <w:ind w:right="-908"/>
        <w:jc w:val="both"/>
        <w:rPr>
          <w:rFonts w:ascii="Arial" w:eastAsia="Calibri" w:hAnsi="Arial" w:cs="Arial"/>
          <w:b/>
          <w:lang w:eastAsia="en-US"/>
        </w:rPr>
      </w:pPr>
    </w:p>
    <w:p w14:paraId="498D4D1A" w14:textId="77777777" w:rsidR="009F4171" w:rsidRDefault="009F4171" w:rsidP="00D21F43">
      <w:pPr>
        <w:ind w:right="-908"/>
        <w:jc w:val="both"/>
        <w:rPr>
          <w:rFonts w:ascii="Arial" w:eastAsia="Calibri" w:hAnsi="Arial" w:cs="Arial"/>
          <w:b/>
          <w:lang w:eastAsia="en-US"/>
        </w:rPr>
      </w:pPr>
    </w:p>
    <w:p w14:paraId="6A5102B0" w14:textId="77777777" w:rsidR="009F4171" w:rsidRDefault="009F4171" w:rsidP="00D21F43">
      <w:pPr>
        <w:ind w:right="-908"/>
        <w:jc w:val="both"/>
        <w:rPr>
          <w:rFonts w:ascii="Arial" w:eastAsia="Calibri" w:hAnsi="Arial" w:cs="Arial"/>
          <w:b/>
          <w:lang w:eastAsia="en-US"/>
        </w:rPr>
      </w:pPr>
    </w:p>
    <w:p w14:paraId="0AD108E9" w14:textId="77777777" w:rsidR="009F4171" w:rsidRDefault="009F4171" w:rsidP="00D21F43">
      <w:pPr>
        <w:ind w:right="-908"/>
        <w:jc w:val="both"/>
        <w:rPr>
          <w:rFonts w:ascii="Arial" w:eastAsia="Calibri" w:hAnsi="Arial" w:cs="Arial"/>
          <w:b/>
          <w:lang w:eastAsia="en-US"/>
        </w:rPr>
      </w:pPr>
    </w:p>
    <w:p w14:paraId="2CAF8648" w14:textId="7AA79A22" w:rsidR="00D21F43" w:rsidRDefault="00D21F43" w:rsidP="00D21F43">
      <w:pPr>
        <w:ind w:right="-908"/>
        <w:jc w:val="both"/>
        <w:rPr>
          <w:rFonts w:ascii="Arial" w:eastAsia="Calibri" w:hAnsi="Arial" w:cs="Arial"/>
          <w:b/>
          <w:lang w:eastAsia="en-US"/>
        </w:rPr>
      </w:pPr>
      <w:r w:rsidRPr="00544F30">
        <w:rPr>
          <w:rFonts w:ascii="Arial" w:eastAsia="Calibri" w:hAnsi="Arial" w:cs="Arial"/>
          <w:b/>
          <w:lang w:eastAsia="en-US"/>
        </w:rPr>
        <w:lastRenderedPageBreak/>
        <w:t xml:space="preserve">REVISION HISTORY </w:t>
      </w:r>
    </w:p>
    <w:p w14:paraId="64BF35AC" w14:textId="77777777" w:rsidR="00D21F43" w:rsidRDefault="00D21F43" w:rsidP="00D21F43">
      <w:pPr>
        <w:jc w:val="both"/>
        <w:rPr>
          <w:rFonts w:ascii="Arial" w:eastAsia="Calibri" w:hAnsi="Arial" w:cs="Arial"/>
          <w:b/>
          <w:lang w:eastAsia="en-US"/>
        </w:rPr>
      </w:pPr>
    </w:p>
    <w:p w14:paraId="167AE632" w14:textId="77777777" w:rsidR="00D21F43" w:rsidRPr="00544F30" w:rsidRDefault="00D21F43" w:rsidP="00D21F43">
      <w:pPr>
        <w:jc w:val="both"/>
        <w:rPr>
          <w:rFonts w:ascii="Arial" w:eastAsia="Calibri" w:hAnsi="Arial" w:cs="Arial"/>
          <w:b/>
          <w:lang w:eastAsia="en-US"/>
        </w:rPr>
      </w:pPr>
    </w:p>
    <w:tbl>
      <w:tblPr>
        <w:tblStyle w:val="TableGrid"/>
        <w:tblW w:w="8926" w:type="dxa"/>
        <w:tblLook w:val="04A0" w:firstRow="1" w:lastRow="0" w:firstColumn="1" w:lastColumn="0" w:noHBand="0" w:noVBand="1"/>
      </w:tblPr>
      <w:tblGrid>
        <w:gridCol w:w="1095"/>
        <w:gridCol w:w="1672"/>
        <w:gridCol w:w="4209"/>
        <w:gridCol w:w="1950"/>
      </w:tblGrid>
      <w:tr w:rsidR="00D21F43" w:rsidRPr="00544F30" w14:paraId="05FB5FA3" w14:textId="77777777" w:rsidTr="009F4171">
        <w:tc>
          <w:tcPr>
            <w:tcW w:w="1095" w:type="dxa"/>
          </w:tcPr>
          <w:p w14:paraId="03DDD66C" w14:textId="77777777" w:rsidR="00D21F43" w:rsidRPr="00652304" w:rsidRDefault="00D21F43" w:rsidP="00361CD8">
            <w:pPr>
              <w:rPr>
                <w:rFonts w:ascii="Arial" w:eastAsia="Calibri" w:hAnsi="Arial" w:cs="Arial"/>
                <w:b/>
                <w:sz w:val="22"/>
                <w:szCs w:val="22"/>
                <w:lang w:eastAsia="en-US"/>
              </w:rPr>
            </w:pPr>
            <w:r w:rsidRPr="00652304">
              <w:rPr>
                <w:rFonts w:ascii="Arial" w:eastAsia="Calibri" w:hAnsi="Arial" w:cs="Arial"/>
                <w:b/>
                <w:sz w:val="22"/>
                <w:szCs w:val="22"/>
                <w:lang w:eastAsia="en-US"/>
              </w:rPr>
              <w:t>Version</w:t>
            </w:r>
          </w:p>
        </w:tc>
        <w:tc>
          <w:tcPr>
            <w:tcW w:w="1672" w:type="dxa"/>
          </w:tcPr>
          <w:p w14:paraId="7077A0EF" w14:textId="77777777" w:rsidR="00D21F43" w:rsidRPr="00652304" w:rsidRDefault="00D21F43" w:rsidP="00361CD8">
            <w:pPr>
              <w:rPr>
                <w:rFonts w:ascii="Arial" w:eastAsia="Calibri" w:hAnsi="Arial" w:cs="Arial"/>
                <w:b/>
                <w:sz w:val="22"/>
                <w:szCs w:val="22"/>
                <w:lang w:eastAsia="en-US"/>
              </w:rPr>
            </w:pPr>
            <w:r w:rsidRPr="00652304">
              <w:rPr>
                <w:rFonts w:ascii="Arial" w:eastAsia="Calibri" w:hAnsi="Arial" w:cs="Arial"/>
                <w:b/>
                <w:sz w:val="22"/>
                <w:szCs w:val="22"/>
                <w:lang w:eastAsia="en-US"/>
              </w:rPr>
              <w:t>Author</w:t>
            </w:r>
          </w:p>
        </w:tc>
        <w:tc>
          <w:tcPr>
            <w:tcW w:w="4209" w:type="dxa"/>
          </w:tcPr>
          <w:p w14:paraId="3865D767" w14:textId="77777777" w:rsidR="00D21F43" w:rsidRPr="00652304" w:rsidRDefault="00D21F43" w:rsidP="00361CD8">
            <w:pPr>
              <w:rPr>
                <w:rFonts w:ascii="Arial" w:eastAsia="Calibri" w:hAnsi="Arial" w:cs="Arial"/>
                <w:b/>
                <w:sz w:val="22"/>
                <w:szCs w:val="22"/>
                <w:lang w:eastAsia="en-US"/>
              </w:rPr>
            </w:pPr>
            <w:r w:rsidRPr="00652304">
              <w:rPr>
                <w:rFonts w:ascii="Arial" w:eastAsia="Calibri" w:hAnsi="Arial" w:cs="Arial"/>
                <w:b/>
                <w:sz w:val="22"/>
                <w:szCs w:val="22"/>
                <w:lang w:eastAsia="en-US"/>
              </w:rPr>
              <w:t>Purpose / Reason</w:t>
            </w:r>
          </w:p>
        </w:tc>
        <w:tc>
          <w:tcPr>
            <w:tcW w:w="1950" w:type="dxa"/>
          </w:tcPr>
          <w:p w14:paraId="36055785" w14:textId="77777777" w:rsidR="00D21F43" w:rsidRPr="00652304" w:rsidRDefault="00D21F43" w:rsidP="00361CD8">
            <w:pPr>
              <w:rPr>
                <w:rFonts w:ascii="Arial" w:eastAsia="Calibri" w:hAnsi="Arial" w:cs="Arial"/>
                <w:b/>
                <w:sz w:val="22"/>
                <w:szCs w:val="22"/>
                <w:lang w:eastAsia="en-US"/>
              </w:rPr>
            </w:pPr>
            <w:r w:rsidRPr="00652304">
              <w:rPr>
                <w:rFonts w:ascii="Arial" w:eastAsia="Calibri" w:hAnsi="Arial" w:cs="Arial"/>
                <w:b/>
                <w:sz w:val="22"/>
                <w:szCs w:val="22"/>
                <w:lang w:eastAsia="en-US"/>
              </w:rPr>
              <w:t>Date</w:t>
            </w:r>
          </w:p>
        </w:tc>
      </w:tr>
      <w:tr w:rsidR="00D21F43" w:rsidRPr="00544F30" w14:paraId="4651D86F" w14:textId="77777777" w:rsidTr="009F4171">
        <w:tc>
          <w:tcPr>
            <w:tcW w:w="1095" w:type="dxa"/>
          </w:tcPr>
          <w:p w14:paraId="1790AD49" w14:textId="77777777" w:rsidR="00D21F43" w:rsidRPr="00652304" w:rsidRDefault="00D21F43" w:rsidP="00361CD8">
            <w:pPr>
              <w:jc w:val="both"/>
              <w:rPr>
                <w:rFonts w:ascii="Arial" w:eastAsia="Calibri" w:hAnsi="Arial" w:cs="Arial"/>
                <w:sz w:val="22"/>
                <w:szCs w:val="22"/>
                <w:lang w:eastAsia="en-US"/>
              </w:rPr>
            </w:pPr>
            <w:r w:rsidRPr="00652304">
              <w:rPr>
                <w:rFonts w:ascii="Arial" w:eastAsia="Calibri" w:hAnsi="Arial" w:cs="Arial"/>
                <w:sz w:val="22"/>
                <w:szCs w:val="22"/>
                <w:lang w:eastAsia="en-US"/>
              </w:rPr>
              <w:t>1.2</w:t>
            </w:r>
          </w:p>
        </w:tc>
        <w:tc>
          <w:tcPr>
            <w:tcW w:w="1672" w:type="dxa"/>
          </w:tcPr>
          <w:p w14:paraId="24547E6C" w14:textId="77777777" w:rsidR="00D21F43" w:rsidRPr="00652304" w:rsidRDefault="00D21F43" w:rsidP="00361CD8">
            <w:pPr>
              <w:jc w:val="both"/>
              <w:rPr>
                <w:rFonts w:ascii="Arial" w:eastAsia="Calibri" w:hAnsi="Arial" w:cs="Arial"/>
                <w:sz w:val="22"/>
                <w:szCs w:val="22"/>
                <w:lang w:eastAsia="en-US"/>
              </w:rPr>
            </w:pPr>
            <w:r w:rsidRPr="00652304">
              <w:rPr>
                <w:rFonts w:ascii="Arial" w:eastAsia="Calibri" w:hAnsi="Arial" w:cs="Arial"/>
                <w:sz w:val="22"/>
                <w:szCs w:val="22"/>
                <w:lang w:eastAsia="en-US"/>
              </w:rPr>
              <w:t>S Thompson</w:t>
            </w:r>
          </w:p>
        </w:tc>
        <w:tc>
          <w:tcPr>
            <w:tcW w:w="4209" w:type="dxa"/>
          </w:tcPr>
          <w:p w14:paraId="5882B1DA" w14:textId="77777777" w:rsidR="00D21F43" w:rsidRPr="00652304" w:rsidRDefault="00D21F43" w:rsidP="00361CD8">
            <w:pPr>
              <w:jc w:val="both"/>
              <w:rPr>
                <w:rFonts w:ascii="Arial" w:eastAsia="Calibri" w:hAnsi="Arial" w:cs="Arial"/>
                <w:sz w:val="22"/>
                <w:szCs w:val="22"/>
                <w:lang w:eastAsia="en-US"/>
              </w:rPr>
            </w:pPr>
            <w:r w:rsidRPr="00652304">
              <w:rPr>
                <w:rFonts w:ascii="Arial" w:eastAsia="Calibri" w:hAnsi="Arial" w:cs="Arial"/>
                <w:sz w:val="22"/>
                <w:szCs w:val="22"/>
                <w:lang w:eastAsia="en-US"/>
              </w:rPr>
              <w:t xml:space="preserve">Following the initial review of the Key Performance Indicators (KPIs) implemented in 2012 the injecting risk KPI was omitted due to the continuing small numbers. This information remains available to Area Planning Boards (APBs) for monitoring purposes. </w:t>
            </w:r>
          </w:p>
        </w:tc>
        <w:tc>
          <w:tcPr>
            <w:tcW w:w="1950" w:type="dxa"/>
          </w:tcPr>
          <w:p w14:paraId="28EDD003" w14:textId="77777777" w:rsidR="00D21F43" w:rsidRPr="00652304" w:rsidRDefault="00D21F43" w:rsidP="00361CD8">
            <w:pPr>
              <w:jc w:val="both"/>
              <w:rPr>
                <w:rFonts w:ascii="Arial" w:eastAsia="Calibri" w:hAnsi="Arial" w:cs="Arial"/>
                <w:sz w:val="22"/>
                <w:szCs w:val="22"/>
                <w:lang w:eastAsia="en-US"/>
              </w:rPr>
            </w:pPr>
            <w:r w:rsidRPr="00652304">
              <w:rPr>
                <w:rFonts w:ascii="Arial" w:eastAsia="Calibri" w:hAnsi="Arial" w:cs="Arial"/>
                <w:sz w:val="22"/>
                <w:szCs w:val="22"/>
                <w:lang w:eastAsia="en-US"/>
              </w:rPr>
              <w:t>June 2014.</w:t>
            </w:r>
          </w:p>
        </w:tc>
      </w:tr>
      <w:tr w:rsidR="00D21F43" w:rsidRPr="00211338" w14:paraId="353096F5" w14:textId="77777777" w:rsidTr="009F4171">
        <w:tc>
          <w:tcPr>
            <w:tcW w:w="1095" w:type="dxa"/>
          </w:tcPr>
          <w:p w14:paraId="4CE8EFE4" w14:textId="77777777" w:rsidR="00D21F43" w:rsidRPr="00652304" w:rsidRDefault="00D21F43" w:rsidP="00361CD8">
            <w:pPr>
              <w:rPr>
                <w:rFonts w:ascii="Arial" w:eastAsia="Calibri" w:hAnsi="Arial" w:cs="Arial"/>
                <w:sz w:val="22"/>
                <w:szCs w:val="22"/>
                <w:lang w:eastAsia="en-US"/>
              </w:rPr>
            </w:pPr>
            <w:r w:rsidRPr="00652304">
              <w:rPr>
                <w:rFonts w:ascii="Arial" w:eastAsia="Calibri" w:hAnsi="Arial" w:cs="Arial"/>
                <w:sz w:val="22"/>
                <w:szCs w:val="22"/>
                <w:lang w:eastAsia="en-US"/>
              </w:rPr>
              <w:t>1.3</w:t>
            </w:r>
          </w:p>
        </w:tc>
        <w:tc>
          <w:tcPr>
            <w:tcW w:w="1672" w:type="dxa"/>
          </w:tcPr>
          <w:p w14:paraId="1F47E84E" w14:textId="77777777" w:rsidR="00D21F43" w:rsidRPr="00652304" w:rsidRDefault="00D21F43" w:rsidP="00361CD8">
            <w:pPr>
              <w:jc w:val="both"/>
              <w:rPr>
                <w:rFonts w:ascii="Arial" w:eastAsia="Calibri" w:hAnsi="Arial" w:cs="Arial"/>
                <w:sz w:val="22"/>
                <w:szCs w:val="22"/>
                <w:lang w:eastAsia="en-US"/>
              </w:rPr>
            </w:pPr>
            <w:r w:rsidRPr="00652304">
              <w:rPr>
                <w:rFonts w:ascii="Arial" w:eastAsia="Calibri" w:hAnsi="Arial" w:cs="Arial"/>
                <w:sz w:val="22"/>
                <w:szCs w:val="22"/>
                <w:lang w:eastAsia="en-US"/>
              </w:rPr>
              <w:t>S Thompson</w:t>
            </w:r>
          </w:p>
        </w:tc>
        <w:tc>
          <w:tcPr>
            <w:tcW w:w="4209" w:type="dxa"/>
          </w:tcPr>
          <w:p w14:paraId="24A7B016" w14:textId="77777777" w:rsidR="00D21F43" w:rsidRPr="00652304" w:rsidRDefault="00D21F43" w:rsidP="00361CD8">
            <w:pPr>
              <w:jc w:val="both"/>
              <w:rPr>
                <w:rFonts w:ascii="Arial" w:eastAsia="Calibri" w:hAnsi="Arial" w:cs="Arial"/>
                <w:sz w:val="22"/>
                <w:szCs w:val="22"/>
                <w:lang w:eastAsia="en-US"/>
              </w:rPr>
            </w:pPr>
            <w:r w:rsidRPr="00652304">
              <w:rPr>
                <w:rFonts w:ascii="Arial" w:eastAsia="Calibri" w:hAnsi="Arial" w:cs="Arial"/>
                <w:sz w:val="22"/>
                <w:szCs w:val="22"/>
                <w:lang w:eastAsia="en-US"/>
              </w:rPr>
              <w:t>Definitional guidance for KPIs strengthened in light of operation experience</w:t>
            </w:r>
          </w:p>
        </w:tc>
        <w:tc>
          <w:tcPr>
            <w:tcW w:w="1950" w:type="dxa"/>
          </w:tcPr>
          <w:p w14:paraId="501AF4DD" w14:textId="77777777" w:rsidR="00D21F43" w:rsidRPr="00652304" w:rsidRDefault="00D21F43" w:rsidP="00361CD8">
            <w:pPr>
              <w:rPr>
                <w:rFonts w:ascii="Arial" w:eastAsia="Calibri" w:hAnsi="Arial" w:cs="Arial"/>
                <w:sz w:val="22"/>
                <w:szCs w:val="22"/>
                <w:lang w:eastAsia="en-US"/>
              </w:rPr>
            </w:pPr>
            <w:r w:rsidRPr="00652304">
              <w:rPr>
                <w:rFonts w:ascii="Arial" w:eastAsia="Calibri" w:hAnsi="Arial" w:cs="Arial"/>
                <w:sz w:val="22"/>
                <w:szCs w:val="22"/>
                <w:lang w:eastAsia="en-US"/>
              </w:rPr>
              <w:t>April 2015.</w:t>
            </w:r>
          </w:p>
        </w:tc>
      </w:tr>
      <w:tr w:rsidR="00D21F43" w:rsidRPr="00544F30" w14:paraId="0833F617" w14:textId="77777777" w:rsidTr="009F4171">
        <w:tc>
          <w:tcPr>
            <w:tcW w:w="1095" w:type="dxa"/>
          </w:tcPr>
          <w:p w14:paraId="241BF239" w14:textId="77777777" w:rsidR="00D21F43" w:rsidRPr="00652304" w:rsidRDefault="00D21F43" w:rsidP="00361CD8">
            <w:pPr>
              <w:rPr>
                <w:rFonts w:ascii="Arial" w:eastAsia="Calibri" w:hAnsi="Arial" w:cs="Arial"/>
                <w:sz w:val="22"/>
                <w:szCs w:val="22"/>
                <w:lang w:eastAsia="en-US"/>
              </w:rPr>
            </w:pPr>
            <w:r w:rsidRPr="00652304">
              <w:rPr>
                <w:rFonts w:ascii="Arial" w:eastAsia="Calibri" w:hAnsi="Arial" w:cs="Arial"/>
                <w:sz w:val="22"/>
                <w:szCs w:val="22"/>
                <w:lang w:eastAsia="en-US"/>
              </w:rPr>
              <w:t>1.3</w:t>
            </w:r>
          </w:p>
        </w:tc>
        <w:tc>
          <w:tcPr>
            <w:tcW w:w="1672" w:type="dxa"/>
          </w:tcPr>
          <w:p w14:paraId="5F28378B" w14:textId="77777777" w:rsidR="00D21F43" w:rsidRPr="00652304" w:rsidRDefault="00D21F43" w:rsidP="00361CD8">
            <w:pPr>
              <w:rPr>
                <w:rFonts w:ascii="Arial" w:eastAsia="Calibri" w:hAnsi="Arial" w:cs="Arial"/>
                <w:sz w:val="22"/>
                <w:szCs w:val="22"/>
                <w:lang w:eastAsia="en-US"/>
              </w:rPr>
            </w:pPr>
            <w:r w:rsidRPr="00652304">
              <w:rPr>
                <w:rFonts w:ascii="Arial" w:eastAsia="Calibri" w:hAnsi="Arial" w:cs="Arial"/>
                <w:sz w:val="22"/>
                <w:szCs w:val="22"/>
                <w:lang w:eastAsia="en-US"/>
              </w:rPr>
              <w:t>S Thompson</w:t>
            </w:r>
          </w:p>
        </w:tc>
        <w:tc>
          <w:tcPr>
            <w:tcW w:w="4209" w:type="dxa"/>
          </w:tcPr>
          <w:p w14:paraId="24E7AA3C" w14:textId="77777777" w:rsidR="00D21F43" w:rsidRPr="00652304" w:rsidRDefault="00D21F43" w:rsidP="00361CD8">
            <w:pPr>
              <w:jc w:val="both"/>
              <w:rPr>
                <w:rFonts w:ascii="Arial" w:eastAsia="Calibri" w:hAnsi="Arial" w:cs="Arial"/>
                <w:sz w:val="22"/>
                <w:szCs w:val="22"/>
                <w:lang w:eastAsia="en-US"/>
              </w:rPr>
            </w:pPr>
            <w:r w:rsidRPr="00652304">
              <w:rPr>
                <w:rFonts w:ascii="Arial" w:eastAsia="Calibri" w:hAnsi="Arial" w:cs="Arial"/>
                <w:sz w:val="22"/>
                <w:szCs w:val="22"/>
                <w:lang w:eastAsia="en-US"/>
              </w:rPr>
              <w:t xml:space="preserve">Reporting requirements section refreshed to take into account the national governance arrangements in place. </w:t>
            </w:r>
          </w:p>
        </w:tc>
        <w:tc>
          <w:tcPr>
            <w:tcW w:w="1950" w:type="dxa"/>
          </w:tcPr>
          <w:p w14:paraId="667A985C" w14:textId="77777777" w:rsidR="00D21F43" w:rsidRPr="00652304" w:rsidRDefault="00D21F43" w:rsidP="00361CD8">
            <w:pPr>
              <w:rPr>
                <w:rFonts w:ascii="Arial" w:eastAsia="Calibri" w:hAnsi="Arial" w:cs="Arial"/>
                <w:sz w:val="22"/>
                <w:szCs w:val="22"/>
                <w:lang w:eastAsia="en-US"/>
              </w:rPr>
            </w:pPr>
            <w:r w:rsidRPr="00652304">
              <w:rPr>
                <w:rFonts w:ascii="Arial" w:eastAsia="Calibri" w:hAnsi="Arial" w:cs="Arial"/>
                <w:sz w:val="22"/>
                <w:szCs w:val="22"/>
                <w:lang w:eastAsia="en-US"/>
              </w:rPr>
              <w:t>April 2015.</w:t>
            </w:r>
          </w:p>
        </w:tc>
      </w:tr>
      <w:tr w:rsidR="00D21F43" w:rsidRPr="00544F30" w14:paraId="53EEB69D" w14:textId="77777777" w:rsidTr="009F4171">
        <w:tc>
          <w:tcPr>
            <w:tcW w:w="1095" w:type="dxa"/>
          </w:tcPr>
          <w:p w14:paraId="4C747CB6" w14:textId="77777777" w:rsidR="00D21F43" w:rsidRPr="00652304" w:rsidRDefault="00D21F43" w:rsidP="00361CD8">
            <w:pPr>
              <w:rPr>
                <w:rFonts w:ascii="Arial" w:eastAsia="Calibri" w:hAnsi="Arial" w:cs="Arial"/>
                <w:sz w:val="22"/>
                <w:szCs w:val="22"/>
                <w:lang w:eastAsia="en-US"/>
              </w:rPr>
            </w:pPr>
            <w:r w:rsidRPr="00652304">
              <w:rPr>
                <w:rFonts w:ascii="Arial" w:eastAsia="Calibri" w:hAnsi="Arial" w:cs="Arial"/>
                <w:sz w:val="22"/>
                <w:szCs w:val="22"/>
                <w:lang w:eastAsia="en-US"/>
              </w:rPr>
              <w:t>1.3</w:t>
            </w:r>
          </w:p>
        </w:tc>
        <w:tc>
          <w:tcPr>
            <w:tcW w:w="1672" w:type="dxa"/>
          </w:tcPr>
          <w:p w14:paraId="2BE14057" w14:textId="77777777" w:rsidR="00D21F43" w:rsidRPr="00652304" w:rsidRDefault="00D21F43" w:rsidP="00361CD8">
            <w:pPr>
              <w:rPr>
                <w:rFonts w:ascii="Arial" w:eastAsia="Calibri" w:hAnsi="Arial" w:cs="Arial"/>
                <w:sz w:val="22"/>
                <w:szCs w:val="22"/>
                <w:lang w:eastAsia="en-US"/>
              </w:rPr>
            </w:pPr>
            <w:r w:rsidRPr="00652304">
              <w:rPr>
                <w:rFonts w:ascii="Arial" w:eastAsia="Calibri" w:hAnsi="Arial" w:cs="Arial"/>
                <w:sz w:val="22"/>
                <w:szCs w:val="22"/>
                <w:lang w:eastAsia="en-US"/>
              </w:rPr>
              <w:t>S Thompson</w:t>
            </w:r>
          </w:p>
        </w:tc>
        <w:tc>
          <w:tcPr>
            <w:tcW w:w="4209" w:type="dxa"/>
          </w:tcPr>
          <w:p w14:paraId="7B6E047F" w14:textId="77777777" w:rsidR="00D21F43" w:rsidRPr="00652304" w:rsidRDefault="00D21F43" w:rsidP="00361CD8">
            <w:pPr>
              <w:jc w:val="both"/>
              <w:rPr>
                <w:rFonts w:ascii="Arial" w:eastAsia="Calibri" w:hAnsi="Arial" w:cs="Arial"/>
                <w:sz w:val="22"/>
                <w:szCs w:val="22"/>
                <w:lang w:eastAsia="en-US"/>
              </w:rPr>
            </w:pPr>
            <w:r w:rsidRPr="00652304">
              <w:rPr>
                <w:rFonts w:ascii="Arial" w:eastAsia="Calibri" w:hAnsi="Arial" w:cs="Arial"/>
                <w:sz w:val="22"/>
                <w:szCs w:val="22"/>
                <w:lang w:eastAsia="en-US"/>
              </w:rPr>
              <w:t xml:space="preserve">Reporting requirements section refreshed to take into account the national targets. </w:t>
            </w:r>
          </w:p>
        </w:tc>
        <w:tc>
          <w:tcPr>
            <w:tcW w:w="1950" w:type="dxa"/>
          </w:tcPr>
          <w:p w14:paraId="46AF737F" w14:textId="77777777" w:rsidR="00D21F43" w:rsidRPr="00652304" w:rsidRDefault="00566FC2" w:rsidP="00361CD8">
            <w:pPr>
              <w:rPr>
                <w:rFonts w:ascii="Arial" w:eastAsia="Calibri" w:hAnsi="Arial" w:cs="Arial"/>
                <w:sz w:val="22"/>
                <w:szCs w:val="22"/>
                <w:lang w:eastAsia="en-US"/>
              </w:rPr>
            </w:pPr>
            <w:r w:rsidRPr="00652304">
              <w:rPr>
                <w:rFonts w:ascii="Arial" w:eastAsia="Calibri" w:hAnsi="Arial" w:cs="Arial"/>
                <w:sz w:val="22"/>
                <w:szCs w:val="22"/>
                <w:lang w:eastAsia="en-US"/>
              </w:rPr>
              <w:t xml:space="preserve">June </w:t>
            </w:r>
            <w:r w:rsidR="00D21F43" w:rsidRPr="00652304">
              <w:rPr>
                <w:rFonts w:ascii="Arial" w:eastAsia="Calibri" w:hAnsi="Arial" w:cs="Arial"/>
                <w:sz w:val="22"/>
                <w:szCs w:val="22"/>
                <w:lang w:eastAsia="en-US"/>
              </w:rPr>
              <w:t>2015</w:t>
            </w:r>
          </w:p>
        </w:tc>
      </w:tr>
      <w:tr w:rsidR="00175690" w:rsidRPr="00544F30" w14:paraId="22058D6D" w14:textId="77777777" w:rsidTr="009F4171">
        <w:tc>
          <w:tcPr>
            <w:tcW w:w="1095" w:type="dxa"/>
          </w:tcPr>
          <w:p w14:paraId="07E078F5" w14:textId="77777777" w:rsidR="00175690" w:rsidRPr="00652304" w:rsidRDefault="00175690" w:rsidP="00361CD8">
            <w:pPr>
              <w:rPr>
                <w:rFonts w:ascii="Arial" w:eastAsia="Calibri" w:hAnsi="Arial" w:cs="Arial"/>
                <w:sz w:val="22"/>
                <w:szCs w:val="22"/>
                <w:lang w:eastAsia="en-US"/>
              </w:rPr>
            </w:pPr>
            <w:r w:rsidRPr="00652304">
              <w:rPr>
                <w:rFonts w:ascii="Arial" w:eastAsia="Calibri" w:hAnsi="Arial" w:cs="Arial"/>
                <w:sz w:val="22"/>
                <w:szCs w:val="22"/>
                <w:lang w:eastAsia="en-US"/>
              </w:rPr>
              <w:t>1.4</w:t>
            </w:r>
          </w:p>
        </w:tc>
        <w:tc>
          <w:tcPr>
            <w:tcW w:w="1672" w:type="dxa"/>
          </w:tcPr>
          <w:p w14:paraId="498D1343" w14:textId="77777777" w:rsidR="00175690" w:rsidRPr="00652304" w:rsidRDefault="00175690" w:rsidP="00361CD8">
            <w:pPr>
              <w:rPr>
                <w:rFonts w:ascii="Arial" w:eastAsia="Calibri" w:hAnsi="Arial" w:cs="Arial"/>
                <w:sz w:val="22"/>
                <w:szCs w:val="22"/>
                <w:lang w:eastAsia="en-US"/>
              </w:rPr>
            </w:pPr>
            <w:r w:rsidRPr="00652304">
              <w:rPr>
                <w:rFonts w:ascii="Arial" w:eastAsia="Calibri" w:hAnsi="Arial" w:cs="Arial"/>
                <w:sz w:val="22"/>
                <w:szCs w:val="22"/>
                <w:lang w:eastAsia="en-US"/>
              </w:rPr>
              <w:t>E Walsh</w:t>
            </w:r>
          </w:p>
        </w:tc>
        <w:tc>
          <w:tcPr>
            <w:tcW w:w="4209" w:type="dxa"/>
          </w:tcPr>
          <w:p w14:paraId="4428DD63" w14:textId="77777777" w:rsidR="00175690" w:rsidRPr="00652304" w:rsidRDefault="00175690" w:rsidP="00361CD8">
            <w:pPr>
              <w:jc w:val="both"/>
              <w:rPr>
                <w:rFonts w:ascii="Arial" w:eastAsia="Calibri" w:hAnsi="Arial" w:cs="Arial"/>
                <w:sz w:val="22"/>
                <w:szCs w:val="22"/>
                <w:lang w:eastAsia="en-US"/>
              </w:rPr>
            </w:pPr>
            <w:r w:rsidRPr="00652304">
              <w:rPr>
                <w:rFonts w:ascii="Arial" w:eastAsia="Calibri" w:hAnsi="Arial" w:cs="Arial"/>
                <w:sz w:val="22"/>
                <w:szCs w:val="22"/>
                <w:lang w:eastAsia="en-US"/>
              </w:rPr>
              <w:t>Report updated to reflect the KPI changes</w:t>
            </w:r>
          </w:p>
        </w:tc>
        <w:tc>
          <w:tcPr>
            <w:tcW w:w="1950" w:type="dxa"/>
          </w:tcPr>
          <w:p w14:paraId="6EC1F5F4" w14:textId="0DE7201B" w:rsidR="00175690" w:rsidRPr="00652304" w:rsidRDefault="00CE6E63" w:rsidP="00CE6E63">
            <w:pPr>
              <w:rPr>
                <w:rFonts w:ascii="Arial" w:eastAsia="Calibri" w:hAnsi="Arial" w:cs="Arial"/>
                <w:sz w:val="22"/>
                <w:szCs w:val="22"/>
                <w:lang w:eastAsia="en-US"/>
              </w:rPr>
            </w:pPr>
            <w:r>
              <w:rPr>
                <w:rFonts w:ascii="Arial" w:eastAsia="Calibri" w:hAnsi="Arial" w:cs="Arial"/>
                <w:sz w:val="22"/>
                <w:szCs w:val="22"/>
                <w:lang w:eastAsia="en-US"/>
              </w:rPr>
              <w:t>October</w:t>
            </w:r>
            <w:r w:rsidR="00175690" w:rsidRPr="00652304">
              <w:rPr>
                <w:rFonts w:ascii="Arial" w:eastAsia="Calibri" w:hAnsi="Arial" w:cs="Arial"/>
                <w:sz w:val="22"/>
                <w:szCs w:val="22"/>
                <w:lang w:eastAsia="en-US"/>
              </w:rPr>
              <w:t xml:space="preserve"> 2017</w:t>
            </w:r>
          </w:p>
        </w:tc>
      </w:tr>
      <w:tr w:rsidR="006F4073" w:rsidRPr="00544F30" w14:paraId="689D41E8" w14:textId="77777777" w:rsidTr="009F4171">
        <w:tc>
          <w:tcPr>
            <w:tcW w:w="1095" w:type="dxa"/>
          </w:tcPr>
          <w:p w14:paraId="0E3FA73C" w14:textId="0550A0D8" w:rsidR="006F4073" w:rsidRPr="00652304" w:rsidRDefault="006F4073" w:rsidP="00361CD8">
            <w:pPr>
              <w:rPr>
                <w:rFonts w:ascii="Arial" w:eastAsia="Calibri" w:hAnsi="Arial" w:cs="Arial"/>
                <w:sz w:val="22"/>
                <w:szCs w:val="22"/>
                <w:lang w:eastAsia="en-US"/>
              </w:rPr>
            </w:pPr>
            <w:r>
              <w:rPr>
                <w:rFonts w:ascii="Arial" w:eastAsia="Calibri" w:hAnsi="Arial" w:cs="Arial"/>
                <w:sz w:val="22"/>
                <w:szCs w:val="22"/>
                <w:lang w:eastAsia="en-US"/>
              </w:rPr>
              <w:t>1.5</w:t>
            </w:r>
          </w:p>
        </w:tc>
        <w:tc>
          <w:tcPr>
            <w:tcW w:w="1672" w:type="dxa"/>
          </w:tcPr>
          <w:p w14:paraId="3AFF657D" w14:textId="4E17354B" w:rsidR="006F4073" w:rsidRPr="00652304" w:rsidRDefault="006F4073" w:rsidP="00361CD8">
            <w:pPr>
              <w:rPr>
                <w:rFonts w:ascii="Arial" w:eastAsia="Calibri" w:hAnsi="Arial" w:cs="Arial"/>
                <w:sz w:val="22"/>
                <w:szCs w:val="22"/>
                <w:lang w:eastAsia="en-US"/>
              </w:rPr>
            </w:pPr>
            <w:r>
              <w:rPr>
                <w:rFonts w:ascii="Arial" w:eastAsia="Calibri" w:hAnsi="Arial" w:cs="Arial"/>
                <w:sz w:val="22"/>
                <w:szCs w:val="22"/>
                <w:lang w:eastAsia="en-US"/>
              </w:rPr>
              <w:t>E Walsh</w:t>
            </w:r>
          </w:p>
        </w:tc>
        <w:tc>
          <w:tcPr>
            <w:tcW w:w="4209" w:type="dxa"/>
          </w:tcPr>
          <w:p w14:paraId="72E54B31" w14:textId="73C6BB98" w:rsidR="006F4073" w:rsidRPr="00652304" w:rsidRDefault="00A92397" w:rsidP="00A92397">
            <w:pPr>
              <w:jc w:val="both"/>
              <w:rPr>
                <w:rFonts w:ascii="Arial" w:eastAsia="Calibri" w:hAnsi="Arial" w:cs="Arial"/>
                <w:sz w:val="22"/>
                <w:szCs w:val="22"/>
                <w:lang w:eastAsia="en-US"/>
              </w:rPr>
            </w:pPr>
            <w:r>
              <w:rPr>
                <w:rFonts w:ascii="Arial" w:eastAsia="Calibri" w:hAnsi="Arial" w:cs="Arial"/>
                <w:sz w:val="22"/>
                <w:szCs w:val="22"/>
                <w:lang w:eastAsia="en-US"/>
              </w:rPr>
              <w:t>Report</w:t>
            </w:r>
            <w:r w:rsidR="006F4073">
              <w:rPr>
                <w:rFonts w:ascii="Arial" w:eastAsia="Calibri" w:hAnsi="Arial" w:cs="Arial"/>
                <w:sz w:val="22"/>
                <w:szCs w:val="22"/>
                <w:lang w:eastAsia="en-US"/>
              </w:rPr>
              <w:t xml:space="preserve"> </w:t>
            </w:r>
            <w:r>
              <w:rPr>
                <w:rFonts w:ascii="Arial" w:eastAsia="Calibri" w:hAnsi="Arial" w:cs="Arial"/>
                <w:sz w:val="22"/>
                <w:szCs w:val="22"/>
                <w:lang w:eastAsia="en-US"/>
              </w:rPr>
              <w:t>up</w:t>
            </w:r>
            <w:r w:rsidR="006F4073">
              <w:rPr>
                <w:rFonts w:ascii="Arial" w:eastAsia="Calibri" w:hAnsi="Arial" w:cs="Arial"/>
                <w:sz w:val="22"/>
                <w:szCs w:val="22"/>
                <w:lang w:eastAsia="en-US"/>
              </w:rPr>
              <w:t>dated to reflect the KPI baselines</w:t>
            </w:r>
          </w:p>
        </w:tc>
        <w:tc>
          <w:tcPr>
            <w:tcW w:w="1950" w:type="dxa"/>
          </w:tcPr>
          <w:p w14:paraId="7C31BF10" w14:textId="77777777" w:rsidR="006F4073" w:rsidRDefault="006F4073" w:rsidP="00CE6E63">
            <w:pPr>
              <w:rPr>
                <w:rFonts w:ascii="Arial" w:eastAsia="Calibri" w:hAnsi="Arial" w:cs="Arial"/>
                <w:sz w:val="22"/>
                <w:szCs w:val="22"/>
                <w:lang w:eastAsia="en-US"/>
              </w:rPr>
            </w:pPr>
            <w:r>
              <w:rPr>
                <w:rFonts w:ascii="Arial" w:eastAsia="Calibri" w:hAnsi="Arial" w:cs="Arial"/>
                <w:sz w:val="22"/>
                <w:szCs w:val="22"/>
                <w:lang w:eastAsia="en-US"/>
              </w:rPr>
              <w:t>April 2019</w:t>
            </w:r>
          </w:p>
          <w:p w14:paraId="61828E62" w14:textId="4BF7CAF4" w:rsidR="006F4073" w:rsidRDefault="006F4073" w:rsidP="00CE6E63">
            <w:pPr>
              <w:rPr>
                <w:rFonts w:ascii="Arial" w:eastAsia="Calibri" w:hAnsi="Arial" w:cs="Arial"/>
                <w:sz w:val="22"/>
                <w:szCs w:val="22"/>
                <w:lang w:eastAsia="en-US"/>
              </w:rPr>
            </w:pPr>
          </w:p>
        </w:tc>
      </w:tr>
      <w:tr w:rsidR="00A92397" w:rsidRPr="00544F30" w14:paraId="5A930FC6" w14:textId="77777777" w:rsidTr="009F4171">
        <w:tc>
          <w:tcPr>
            <w:tcW w:w="1095" w:type="dxa"/>
          </w:tcPr>
          <w:p w14:paraId="6C532917" w14:textId="6FAD961B" w:rsidR="00A92397" w:rsidRDefault="00A92397" w:rsidP="00361CD8">
            <w:pPr>
              <w:rPr>
                <w:rFonts w:ascii="Arial" w:eastAsia="Calibri" w:hAnsi="Arial" w:cs="Arial"/>
                <w:sz w:val="22"/>
                <w:szCs w:val="22"/>
                <w:lang w:eastAsia="en-US"/>
              </w:rPr>
            </w:pPr>
            <w:r>
              <w:rPr>
                <w:rFonts w:ascii="Arial" w:eastAsia="Calibri" w:hAnsi="Arial" w:cs="Arial"/>
                <w:sz w:val="22"/>
                <w:szCs w:val="22"/>
                <w:lang w:eastAsia="en-US"/>
              </w:rPr>
              <w:t>1.6</w:t>
            </w:r>
          </w:p>
        </w:tc>
        <w:tc>
          <w:tcPr>
            <w:tcW w:w="1672" w:type="dxa"/>
          </w:tcPr>
          <w:p w14:paraId="4D5C4CB1" w14:textId="2251E423" w:rsidR="00A92397" w:rsidRDefault="00A92397" w:rsidP="00361CD8">
            <w:pPr>
              <w:rPr>
                <w:rFonts w:ascii="Arial" w:eastAsia="Calibri" w:hAnsi="Arial" w:cs="Arial"/>
                <w:sz w:val="22"/>
                <w:szCs w:val="22"/>
                <w:lang w:eastAsia="en-US"/>
              </w:rPr>
            </w:pPr>
            <w:r>
              <w:rPr>
                <w:rFonts w:ascii="Arial" w:eastAsia="Calibri" w:hAnsi="Arial" w:cs="Arial"/>
                <w:sz w:val="22"/>
                <w:szCs w:val="22"/>
                <w:lang w:eastAsia="en-US"/>
              </w:rPr>
              <w:t>E Walsh</w:t>
            </w:r>
          </w:p>
        </w:tc>
        <w:tc>
          <w:tcPr>
            <w:tcW w:w="4209" w:type="dxa"/>
          </w:tcPr>
          <w:p w14:paraId="68F70D85" w14:textId="44443AE1" w:rsidR="00A92397" w:rsidRDefault="00A92397" w:rsidP="00361CD8">
            <w:pPr>
              <w:jc w:val="both"/>
              <w:rPr>
                <w:rFonts w:ascii="Arial" w:eastAsia="Calibri" w:hAnsi="Arial" w:cs="Arial"/>
                <w:sz w:val="22"/>
                <w:szCs w:val="22"/>
                <w:lang w:eastAsia="en-US"/>
              </w:rPr>
            </w:pPr>
            <w:r>
              <w:rPr>
                <w:rFonts w:ascii="Arial" w:eastAsia="Calibri" w:hAnsi="Arial" w:cs="Arial"/>
                <w:sz w:val="22"/>
                <w:szCs w:val="22"/>
                <w:lang w:eastAsia="en-US"/>
              </w:rPr>
              <w:t>Report updated to reflect the 2021-22 year</w:t>
            </w:r>
            <w:r w:rsidR="000C1B88">
              <w:rPr>
                <w:rFonts w:ascii="Arial" w:eastAsia="Calibri" w:hAnsi="Arial" w:cs="Arial"/>
                <w:sz w:val="22"/>
                <w:szCs w:val="22"/>
                <w:lang w:eastAsia="en-US"/>
              </w:rPr>
              <w:t xml:space="preserve"> and the move from NWIS to DHCW</w:t>
            </w:r>
          </w:p>
        </w:tc>
        <w:tc>
          <w:tcPr>
            <w:tcW w:w="1950" w:type="dxa"/>
          </w:tcPr>
          <w:p w14:paraId="68CEA4BF" w14:textId="44EEAB97" w:rsidR="00A92397" w:rsidRDefault="00A92397" w:rsidP="00CE6E63">
            <w:pPr>
              <w:rPr>
                <w:rFonts w:ascii="Arial" w:eastAsia="Calibri" w:hAnsi="Arial" w:cs="Arial"/>
                <w:sz w:val="22"/>
                <w:szCs w:val="22"/>
                <w:lang w:eastAsia="en-US"/>
              </w:rPr>
            </w:pPr>
            <w:r>
              <w:rPr>
                <w:rFonts w:ascii="Arial" w:eastAsia="Calibri" w:hAnsi="Arial" w:cs="Arial"/>
                <w:sz w:val="22"/>
                <w:szCs w:val="22"/>
                <w:lang w:eastAsia="en-US"/>
              </w:rPr>
              <w:t>April 2021</w:t>
            </w:r>
          </w:p>
        </w:tc>
      </w:tr>
    </w:tbl>
    <w:p w14:paraId="4A0F44C5" w14:textId="77777777" w:rsidR="00D21F43" w:rsidRPr="00544F30" w:rsidRDefault="00D21F43" w:rsidP="00D21F43">
      <w:pPr>
        <w:rPr>
          <w:rFonts w:ascii="Arial" w:eastAsia="Calibri" w:hAnsi="Arial" w:cs="Arial"/>
          <w:b/>
          <w:color w:val="FF0000"/>
          <w:sz w:val="22"/>
          <w:szCs w:val="22"/>
          <w:lang w:eastAsia="en-US"/>
        </w:rPr>
      </w:pPr>
      <w:r w:rsidRPr="00544F30">
        <w:rPr>
          <w:rFonts w:ascii="Arial" w:eastAsia="Calibri" w:hAnsi="Arial" w:cs="Arial"/>
          <w:b/>
          <w:color w:val="FF0000"/>
          <w:sz w:val="22"/>
          <w:szCs w:val="22"/>
          <w:lang w:eastAsia="en-US"/>
        </w:rPr>
        <w:br w:type="page"/>
      </w:r>
    </w:p>
    <w:p w14:paraId="46CE1FEB" w14:textId="77777777" w:rsidR="00D21F43" w:rsidRPr="00374AA4" w:rsidRDefault="00D21F43" w:rsidP="00D21F43">
      <w:pPr>
        <w:rPr>
          <w:rFonts w:ascii="Arial" w:eastAsia="Calibri" w:hAnsi="Arial" w:cs="Arial"/>
          <w:b/>
          <w:lang w:eastAsia="en-US"/>
        </w:rPr>
      </w:pPr>
      <w:r w:rsidRPr="00374AA4">
        <w:rPr>
          <w:rFonts w:ascii="Arial" w:eastAsia="Calibri" w:hAnsi="Arial" w:cs="Arial"/>
          <w:b/>
          <w:lang w:eastAsia="en-US"/>
        </w:rPr>
        <w:lastRenderedPageBreak/>
        <w:t xml:space="preserve">Contents: </w:t>
      </w:r>
    </w:p>
    <w:p w14:paraId="6CAB58DA" w14:textId="77777777" w:rsidR="00D21F43" w:rsidRPr="00374AA4" w:rsidRDefault="00D21F43" w:rsidP="00D21F43">
      <w:pPr>
        <w:rPr>
          <w:rFonts w:ascii="Arial" w:eastAsia="Calibri" w:hAnsi="Arial" w:cs="Arial"/>
          <w:lang w:eastAsia="en-US"/>
        </w:rPr>
      </w:pPr>
    </w:p>
    <w:p w14:paraId="047CA546" w14:textId="77777777" w:rsidR="00D21F43" w:rsidRPr="00374AA4" w:rsidRDefault="00D21F43" w:rsidP="00D21F43">
      <w:pPr>
        <w:rPr>
          <w:rFonts w:ascii="Arial" w:eastAsia="Calibri" w:hAnsi="Arial" w:cs="Arial"/>
          <w:lang w:eastAsia="en-US"/>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5512"/>
        <w:gridCol w:w="1452"/>
      </w:tblGrid>
      <w:tr w:rsidR="00D21F43" w:rsidRPr="00374AA4" w14:paraId="4548C732" w14:textId="77777777" w:rsidTr="00361CD8">
        <w:tc>
          <w:tcPr>
            <w:tcW w:w="1390" w:type="dxa"/>
          </w:tcPr>
          <w:p w14:paraId="3CDD2E7E" w14:textId="77777777" w:rsidR="00D21F43" w:rsidRPr="00374AA4" w:rsidRDefault="00D21F43" w:rsidP="00361CD8">
            <w:pPr>
              <w:rPr>
                <w:rFonts w:ascii="Arial" w:hAnsi="Arial" w:cs="Arial"/>
                <w:b/>
              </w:rPr>
            </w:pPr>
            <w:r w:rsidRPr="00374AA4">
              <w:rPr>
                <w:rFonts w:ascii="Arial" w:hAnsi="Arial" w:cs="Arial"/>
                <w:b/>
              </w:rPr>
              <w:t>Section</w:t>
            </w:r>
          </w:p>
        </w:tc>
        <w:tc>
          <w:tcPr>
            <w:tcW w:w="5698" w:type="dxa"/>
          </w:tcPr>
          <w:p w14:paraId="0C4D7D3B" w14:textId="77777777" w:rsidR="00D21F43" w:rsidRPr="00374AA4" w:rsidRDefault="00D21F43" w:rsidP="00361CD8">
            <w:pPr>
              <w:rPr>
                <w:rFonts w:ascii="Arial" w:hAnsi="Arial" w:cs="Arial"/>
                <w:b/>
              </w:rPr>
            </w:pPr>
            <w:r w:rsidRPr="00374AA4">
              <w:rPr>
                <w:rFonts w:ascii="Arial" w:hAnsi="Arial" w:cs="Arial"/>
                <w:b/>
              </w:rPr>
              <w:t>Title</w:t>
            </w:r>
          </w:p>
        </w:tc>
        <w:tc>
          <w:tcPr>
            <w:tcW w:w="1468" w:type="dxa"/>
          </w:tcPr>
          <w:p w14:paraId="13C9F1AA" w14:textId="77777777" w:rsidR="00D21F43" w:rsidRPr="00374AA4" w:rsidRDefault="00D21F43" w:rsidP="00361CD8">
            <w:pPr>
              <w:rPr>
                <w:rFonts w:ascii="Arial" w:hAnsi="Arial" w:cs="Arial"/>
                <w:b/>
              </w:rPr>
            </w:pPr>
            <w:r w:rsidRPr="00374AA4">
              <w:rPr>
                <w:rFonts w:ascii="Arial" w:hAnsi="Arial" w:cs="Arial"/>
                <w:b/>
              </w:rPr>
              <w:t>Page Number</w:t>
            </w:r>
          </w:p>
        </w:tc>
      </w:tr>
      <w:tr w:rsidR="00D21F43" w:rsidRPr="00374AA4" w14:paraId="45D43913" w14:textId="77777777" w:rsidTr="00361CD8">
        <w:tc>
          <w:tcPr>
            <w:tcW w:w="1390" w:type="dxa"/>
          </w:tcPr>
          <w:p w14:paraId="140EAB19" w14:textId="77777777" w:rsidR="00D21F43" w:rsidRPr="00652304" w:rsidRDefault="00D21F43" w:rsidP="00361CD8">
            <w:pPr>
              <w:rPr>
                <w:rFonts w:ascii="Arial" w:hAnsi="Arial" w:cs="Arial"/>
                <w:sz w:val="22"/>
                <w:szCs w:val="22"/>
              </w:rPr>
            </w:pPr>
          </w:p>
          <w:p w14:paraId="11C6A112" w14:textId="77777777" w:rsidR="00D21F43" w:rsidRPr="00652304" w:rsidRDefault="00D21F43" w:rsidP="00361CD8">
            <w:pPr>
              <w:rPr>
                <w:rFonts w:ascii="Arial" w:hAnsi="Arial" w:cs="Arial"/>
                <w:sz w:val="22"/>
                <w:szCs w:val="22"/>
              </w:rPr>
            </w:pPr>
            <w:r w:rsidRPr="00652304">
              <w:rPr>
                <w:rFonts w:ascii="Arial" w:hAnsi="Arial" w:cs="Arial"/>
                <w:sz w:val="22"/>
                <w:szCs w:val="22"/>
              </w:rPr>
              <w:t>1.0</w:t>
            </w:r>
          </w:p>
        </w:tc>
        <w:tc>
          <w:tcPr>
            <w:tcW w:w="5698" w:type="dxa"/>
          </w:tcPr>
          <w:p w14:paraId="0C1DF1DB" w14:textId="77777777" w:rsidR="00D21F43" w:rsidRPr="00652304" w:rsidRDefault="00D21F43" w:rsidP="00361CD8">
            <w:pPr>
              <w:rPr>
                <w:rFonts w:ascii="Arial" w:hAnsi="Arial" w:cs="Arial"/>
                <w:sz w:val="22"/>
                <w:szCs w:val="22"/>
              </w:rPr>
            </w:pPr>
          </w:p>
          <w:p w14:paraId="73D40884" w14:textId="77777777" w:rsidR="00D21F43" w:rsidRPr="00652304" w:rsidRDefault="00D21F43" w:rsidP="00361CD8">
            <w:pPr>
              <w:rPr>
                <w:rFonts w:ascii="Arial" w:hAnsi="Arial" w:cs="Arial"/>
                <w:sz w:val="22"/>
                <w:szCs w:val="22"/>
              </w:rPr>
            </w:pPr>
            <w:r w:rsidRPr="00652304">
              <w:rPr>
                <w:rFonts w:ascii="Arial" w:hAnsi="Arial" w:cs="Arial"/>
                <w:sz w:val="22"/>
                <w:szCs w:val="22"/>
              </w:rPr>
              <w:t>Introduction</w:t>
            </w:r>
          </w:p>
          <w:p w14:paraId="2857A55E" w14:textId="77777777" w:rsidR="00D21F43" w:rsidRPr="00652304" w:rsidRDefault="00D21F43" w:rsidP="00361CD8">
            <w:pPr>
              <w:rPr>
                <w:rFonts w:ascii="Arial" w:hAnsi="Arial" w:cs="Arial"/>
                <w:sz w:val="22"/>
                <w:szCs w:val="22"/>
              </w:rPr>
            </w:pPr>
          </w:p>
        </w:tc>
        <w:tc>
          <w:tcPr>
            <w:tcW w:w="1468" w:type="dxa"/>
          </w:tcPr>
          <w:p w14:paraId="456FD2E7" w14:textId="77777777" w:rsidR="00D21F43" w:rsidRPr="00652304" w:rsidRDefault="00D21F43" w:rsidP="00361CD8">
            <w:pPr>
              <w:rPr>
                <w:rFonts w:ascii="Arial" w:hAnsi="Arial" w:cs="Arial"/>
                <w:sz w:val="22"/>
                <w:szCs w:val="22"/>
              </w:rPr>
            </w:pPr>
          </w:p>
          <w:p w14:paraId="6DFAB3E5" w14:textId="77777777" w:rsidR="00D21F43" w:rsidRPr="00652304" w:rsidRDefault="00566FC2" w:rsidP="00361CD8">
            <w:pPr>
              <w:rPr>
                <w:rFonts w:ascii="Arial" w:hAnsi="Arial" w:cs="Arial"/>
                <w:sz w:val="22"/>
                <w:szCs w:val="22"/>
              </w:rPr>
            </w:pPr>
            <w:r w:rsidRPr="00652304">
              <w:rPr>
                <w:rFonts w:ascii="Arial" w:hAnsi="Arial" w:cs="Arial"/>
                <w:sz w:val="22"/>
                <w:szCs w:val="22"/>
              </w:rPr>
              <w:t>4</w:t>
            </w:r>
          </w:p>
        </w:tc>
      </w:tr>
      <w:tr w:rsidR="00D21F43" w:rsidRPr="00374AA4" w14:paraId="7D298EFB" w14:textId="77777777" w:rsidTr="00361CD8">
        <w:tc>
          <w:tcPr>
            <w:tcW w:w="1390" w:type="dxa"/>
          </w:tcPr>
          <w:p w14:paraId="799E627E" w14:textId="77777777" w:rsidR="00D21F43" w:rsidRPr="00652304" w:rsidRDefault="00D21F43" w:rsidP="00361CD8">
            <w:pPr>
              <w:rPr>
                <w:rFonts w:ascii="Arial" w:hAnsi="Arial" w:cs="Arial"/>
                <w:sz w:val="22"/>
                <w:szCs w:val="22"/>
              </w:rPr>
            </w:pPr>
            <w:r w:rsidRPr="00652304">
              <w:rPr>
                <w:rFonts w:ascii="Arial" w:hAnsi="Arial" w:cs="Arial"/>
                <w:sz w:val="22"/>
                <w:szCs w:val="22"/>
              </w:rPr>
              <w:t>2.0</w:t>
            </w:r>
          </w:p>
        </w:tc>
        <w:tc>
          <w:tcPr>
            <w:tcW w:w="5698" w:type="dxa"/>
          </w:tcPr>
          <w:p w14:paraId="4C357EBF" w14:textId="77777777" w:rsidR="00D21F43" w:rsidRPr="00652304" w:rsidRDefault="00D21F43" w:rsidP="00361CD8">
            <w:pPr>
              <w:rPr>
                <w:rFonts w:ascii="Arial" w:hAnsi="Arial" w:cs="Arial"/>
                <w:sz w:val="22"/>
                <w:szCs w:val="22"/>
              </w:rPr>
            </w:pPr>
            <w:r w:rsidRPr="00652304">
              <w:rPr>
                <w:rFonts w:ascii="Arial" w:hAnsi="Arial" w:cs="Arial"/>
                <w:sz w:val="22"/>
                <w:szCs w:val="22"/>
              </w:rPr>
              <w:t xml:space="preserve">The Scope of the Performance Indicators </w:t>
            </w:r>
          </w:p>
          <w:p w14:paraId="3B4C52B5" w14:textId="77777777" w:rsidR="00D21F43" w:rsidRPr="00652304" w:rsidRDefault="00D21F43" w:rsidP="00361CD8">
            <w:pPr>
              <w:rPr>
                <w:rFonts w:ascii="Arial" w:hAnsi="Arial" w:cs="Arial"/>
                <w:sz w:val="22"/>
                <w:szCs w:val="22"/>
              </w:rPr>
            </w:pPr>
          </w:p>
        </w:tc>
        <w:tc>
          <w:tcPr>
            <w:tcW w:w="1468" w:type="dxa"/>
          </w:tcPr>
          <w:p w14:paraId="7A0DC41D" w14:textId="77777777" w:rsidR="00D21F43" w:rsidRPr="00652304" w:rsidRDefault="00566FC2" w:rsidP="00361CD8">
            <w:pPr>
              <w:rPr>
                <w:rFonts w:ascii="Arial" w:hAnsi="Arial" w:cs="Arial"/>
                <w:sz w:val="22"/>
                <w:szCs w:val="22"/>
              </w:rPr>
            </w:pPr>
            <w:r w:rsidRPr="00652304">
              <w:rPr>
                <w:rFonts w:ascii="Arial" w:hAnsi="Arial" w:cs="Arial"/>
                <w:sz w:val="22"/>
                <w:szCs w:val="22"/>
              </w:rPr>
              <w:t>4</w:t>
            </w:r>
          </w:p>
        </w:tc>
      </w:tr>
      <w:tr w:rsidR="00D21F43" w:rsidRPr="00374AA4" w14:paraId="6B8D0AD1" w14:textId="77777777" w:rsidTr="00361CD8">
        <w:tc>
          <w:tcPr>
            <w:tcW w:w="1390" w:type="dxa"/>
          </w:tcPr>
          <w:p w14:paraId="3E5F3C87" w14:textId="77777777" w:rsidR="00D21F43" w:rsidRPr="00652304" w:rsidRDefault="00D21F43" w:rsidP="00361CD8">
            <w:pPr>
              <w:rPr>
                <w:rFonts w:ascii="Arial" w:hAnsi="Arial" w:cs="Arial"/>
                <w:sz w:val="22"/>
                <w:szCs w:val="22"/>
              </w:rPr>
            </w:pPr>
            <w:r w:rsidRPr="00652304">
              <w:rPr>
                <w:rFonts w:ascii="Arial" w:hAnsi="Arial" w:cs="Arial"/>
                <w:sz w:val="22"/>
                <w:szCs w:val="22"/>
              </w:rPr>
              <w:t>3.0</w:t>
            </w:r>
          </w:p>
        </w:tc>
        <w:tc>
          <w:tcPr>
            <w:tcW w:w="5698" w:type="dxa"/>
          </w:tcPr>
          <w:p w14:paraId="66A1DEEF" w14:textId="77777777" w:rsidR="00D21F43" w:rsidRPr="00652304" w:rsidRDefault="00D21F43" w:rsidP="00361CD8">
            <w:pPr>
              <w:rPr>
                <w:rFonts w:ascii="Arial" w:hAnsi="Arial" w:cs="Arial"/>
                <w:sz w:val="22"/>
                <w:szCs w:val="22"/>
              </w:rPr>
            </w:pPr>
            <w:r w:rsidRPr="00652304">
              <w:rPr>
                <w:rFonts w:ascii="Arial" w:hAnsi="Arial" w:cs="Arial"/>
                <w:sz w:val="22"/>
                <w:szCs w:val="22"/>
              </w:rPr>
              <w:t xml:space="preserve">Guidance to Implement Indicators </w:t>
            </w:r>
          </w:p>
          <w:p w14:paraId="6AF25322" w14:textId="77777777" w:rsidR="00D21F43" w:rsidRPr="00652304" w:rsidRDefault="00D21F43" w:rsidP="00361CD8">
            <w:pPr>
              <w:rPr>
                <w:rFonts w:ascii="Arial" w:hAnsi="Arial" w:cs="Arial"/>
                <w:sz w:val="22"/>
                <w:szCs w:val="22"/>
              </w:rPr>
            </w:pPr>
          </w:p>
        </w:tc>
        <w:tc>
          <w:tcPr>
            <w:tcW w:w="1468" w:type="dxa"/>
          </w:tcPr>
          <w:p w14:paraId="6D6C3729" w14:textId="77777777" w:rsidR="00D21F43" w:rsidRPr="00652304" w:rsidRDefault="00566FC2" w:rsidP="00361CD8">
            <w:pPr>
              <w:rPr>
                <w:rFonts w:ascii="Arial" w:hAnsi="Arial" w:cs="Arial"/>
                <w:sz w:val="22"/>
                <w:szCs w:val="22"/>
              </w:rPr>
            </w:pPr>
            <w:r w:rsidRPr="00652304">
              <w:rPr>
                <w:rFonts w:ascii="Arial" w:hAnsi="Arial" w:cs="Arial"/>
                <w:sz w:val="22"/>
                <w:szCs w:val="22"/>
              </w:rPr>
              <w:t>4</w:t>
            </w:r>
          </w:p>
        </w:tc>
      </w:tr>
      <w:tr w:rsidR="00D21F43" w:rsidRPr="001A5117" w14:paraId="750DF64A" w14:textId="77777777" w:rsidTr="00361CD8">
        <w:tc>
          <w:tcPr>
            <w:tcW w:w="1390" w:type="dxa"/>
          </w:tcPr>
          <w:p w14:paraId="1CE4D58F" w14:textId="77777777" w:rsidR="00D21F43" w:rsidRPr="00652304" w:rsidRDefault="00D21F43" w:rsidP="00361CD8">
            <w:pPr>
              <w:rPr>
                <w:rFonts w:ascii="Arial" w:hAnsi="Arial" w:cs="Arial"/>
                <w:sz w:val="22"/>
                <w:szCs w:val="22"/>
              </w:rPr>
            </w:pPr>
            <w:r w:rsidRPr="00652304">
              <w:rPr>
                <w:rFonts w:ascii="Arial" w:hAnsi="Arial" w:cs="Arial"/>
                <w:sz w:val="22"/>
                <w:szCs w:val="22"/>
              </w:rPr>
              <w:t>3.1</w:t>
            </w:r>
          </w:p>
        </w:tc>
        <w:tc>
          <w:tcPr>
            <w:tcW w:w="5698" w:type="dxa"/>
          </w:tcPr>
          <w:p w14:paraId="11E19C81"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Key Performance Indicator 1: Measure of Relevant &amp; Appropriate Service</w:t>
            </w:r>
          </w:p>
          <w:p w14:paraId="173DB444" w14:textId="77777777" w:rsidR="00D21F43" w:rsidRPr="00652304" w:rsidRDefault="00D21F43" w:rsidP="00361CD8">
            <w:pPr>
              <w:jc w:val="both"/>
              <w:rPr>
                <w:rFonts w:ascii="Arial" w:hAnsi="Arial" w:cs="Arial"/>
                <w:sz w:val="22"/>
                <w:szCs w:val="22"/>
              </w:rPr>
            </w:pPr>
          </w:p>
        </w:tc>
        <w:tc>
          <w:tcPr>
            <w:tcW w:w="1468" w:type="dxa"/>
          </w:tcPr>
          <w:p w14:paraId="35395F68" w14:textId="77777777" w:rsidR="00D21F43" w:rsidRPr="00652304" w:rsidRDefault="00566FC2" w:rsidP="00361CD8">
            <w:pPr>
              <w:rPr>
                <w:rFonts w:ascii="Arial" w:hAnsi="Arial" w:cs="Arial"/>
                <w:sz w:val="22"/>
                <w:szCs w:val="22"/>
              </w:rPr>
            </w:pPr>
            <w:r w:rsidRPr="00652304">
              <w:rPr>
                <w:rFonts w:ascii="Arial" w:hAnsi="Arial" w:cs="Arial"/>
                <w:sz w:val="22"/>
                <w:szCs w:val="22"/>
              </w:rPr>
              <w:t>5</w:t>
            </w:r>
          </w:p>
        </w:tc>
      </w:tr>
      <w:tr w:rsidR="00D21F43" w:rsidRPr="001A5117" w14:paraId="1F6374D3" w14:textId="77777777" w:rsidTr="00361CD8">
        <w:tc>
          <w:tcPr>
            <w:tcW w:w="1390" w:type="dxa"/>
          </w:tcPr>
          <w:p w14:paraId="33AE6919" w14:textId="77777777" w:rsidR="00D21F43" w:rsidRPr="00652304" w:rsidRDefault="00D21F43" w:rsidP="00361CD8">
            <w:pPr>
              <w:rPr>
                <w:rFonts w:ascii="Arial" w:hAnsi="Arial" w:cs="Arial"/>
                <w:sz w:val="22"/>
                <w:szCs w:val="22"/>
              </w:rPr>
            </w:pPr>
            <w:r w:rsidRPr="00652304">
              <w:rPr>
                <w:rFonts w:ascii="Arial" w:hAnsi="Arial" w:cs="Arial"/>
                <w:sz w:val="22"/>
                <w:szCs w:val="22"/>
              </w:rPr>
              <w:t>3.2</w:t>
            </w:r>
          </w:p>
        </w:tc>
        <w:tc>
          <w:tcPr>
            <w:tcW w:w="5698" w:type="dxa"/>
          </w:tcPr>
          <w:p w14:paraId="4502B36E" w14:textId="77777777" w:rsidR="00D21F43" w:rsidRPr="00652304" w:rsidRDefault="00D21F43" w:rsidP="00361CD8">
            <w:pPr>
              <w:rPr>
                <w:rFonts w:ascii="Arial" w:hAnsi="Arial" w:cs="Arial"/>
                <w:sz w:val="22"/>
                <w:szCs w:val="22"/>
              </w:rPr>
            </w:pPr>
            <w:r w:rsidRPr="00652304">
              <w:rPr>
                <w:rFonts w:ascii="Arial" w:hAnsi="Arial" w:cs="Arial"/>
                <w:sz w:val="22"/>
                <w:szCs w:val="22"/>
              </w:rPr>
              <w:t>Key Performance Indicator 2: Measure of Waiting Times for Services</w:t>
            </w:r>
          </w:p>
          <w:p w14:paraId="13AA6A84" w14:textId="77777777" w:rsidR="00D21F43" w:rsidRPr="00652304" w:rsidRDefault="00D21F43" w:rsidP="00361CD8">
            <w:pPr>
              <w:rPr>
                <w:rFonts w:ascii="Arial" w:hAnsi="Arial" w:cs="Arial"/>
                <w:sz w:val="22"/>
                <w:szCs w:val="22"/>
              </w:rPr>
            </w:pPr>
          </w:p>
        </w:tc>
        <w:tc>
          <w:tcPr>
            <w:tcW w:w="1468" w:type="dxa"/>
          </w:tcPr>
          <w:p w14:paraId="0BC4FE7B" w14:textId="77777777" w:rsidR="00D21F43" w:rsidRPr="00652304" w:rsidRDefault="00566FC2" w:rsidP="00361CD8">
            <w:pPr>
              <w:rPr>
                <w:rFonts w:ascii="Arial" w:hAnsi="Arial" w:cs="Arial"/>
                <w:sz w:val="22"/>
                <w:szCs w:val="22"/>
              </w:rPr>
            </w:pPr>
            <w:r w:rsidRPr="00652304">
              <w:rPr>
                <w:rFonts w:ascii="Arial" w:hAnsi="Arial" w:cs="Arial"/>
                <w:sz w:val="22"/>
                <w:szCs w:val="22"/>
              </w:rPr>
              <w:t>6</w:t>
            </w:r>
          </w:p>
        </w:tc>
      </w:tr>
      <w:tr w:rsidR="00D21F43" w:rsidRPr="001A5117" w14:paraId="6D41AA26" w14:textId="77777777" w:rsidTr="00361CD8">
        <w:tc>
          <w:tcPr>
            <w:tcW w:w="1390" w:type="dxa"/>
          </w:tcPr>
          <w:p w14:paraId="458588B6" w14:textId="77777777" w:rsidR="00D21F43" w:rsidRPr="00652304" w:rsidRDefault="00D21F43" w:rsidP="00361CD8">
            <w:pPr>
              <w:rPr>
                <w:rFonts w:ascii="Arial" w:hAnsi="Arial" w:cs="Arial"/>
                <w:sz w:val="22"/>
                <w:szCs w:val="22"/>
              </w:rPr>
            </w:pPr>
            <w:r w:rsidRPr="00652304">
              <w:rPr>
                <w:rFonts w:ascii="Arial" w:hAnsi="Arial" w:cs="Arial"/>
                <w:sz w:val="22"/>
                <w:szCs w:val="22"/>
              </w:rPr>
              <w:t>3.3</w:t>
            </w:r>
          </w:p>
        </w:tc>
        <w:tc>
          <w:tcPr>
            <w:tcW w:w="5698" w:type="dxa"/>
          </w:tcPr>
          <w:p w14:paraId="2EDA8197" w14:textId="77777777" w:rsidR="00D21F43" w:rsidRPr="00652304" w:rsidRDefault="00D21F43" w:rsidP="00361CD8">
            <w:pPr>
              <w:rPr>
                <w:rFonts w:ascii="Arial" w:hAnsi="Arial" w:cs="Arial"/>
                <w:sz w:val="22"/>
                <w:szCs w:val="22"/>
              </w:rPr>
            </w:pPr>
            <w:r w:rsidRPr="00652304">
              <w:rPr>
                <w:rFonts w:ascii="Arial" w:hAnsi="Arial" w:cs="Arial"/>
                <w:sz w:val="22"/>
                <w:szCs w:val="22"/>
              </w:rPr>
              <w:t>Key Performance Indicator 3 Measure of the Impact Services have on the Reduction of Substance Misuse</w:t>
            </w:r>
          </w:p>
          <w:p w14:paraId="0FAA3EAC" w14:textId="77777777" w:rsidR="00D21F43" w:rsidRPr="00652304" w:rsidRDefault="00D21F43" w:rsidP="00361CD8">
            <w:pPr>
              <w:rPr>
                <w:rFonts w:ascii="Arial" w:hAnsi="Arial" w:cs="Arial"/>
                <w:sz w:val="22"/>
                <w:szCs w:val="22"/>
              </w:rPr>
            </w:pPr>
          </w:p>
        </w:tc>
        <w:tc>
          <w:tcPr>
            <w:tcW w:w="1468" w:type="dxa"/>
          </w:tcPr>
          <w:p w14:paraId="11330489" w14:textId="77777777" w:rsidR="00D21F43" w:rsidRPr="00652304" w:rsidRDefault="00566FC2" w:rsidP="00361CD8">
            <w:pPr>
              <w:rPr>
                <w:rFonts w:ascii="Arial" w:hAnsi="Arial" w:cs="Arial"/>
                <w:sz w:val="22"/>
                <w:szCs w:val="22"/>
              </w:rPr>
            </w:pPr>
            <w:r w:rsidRPr="00652304">
              <w:rPr>
                <w:rFonts w:ascii="Arial" w:hAnsi="Arial" w:cs="Arial"/>
                <w:sz w:val="22"/>
                <w:szCs w:val="22"/>
              </w:rPr>
              <w:t>7</w:t>
            </w:r>
          </w:p>
        </w:tc>
      </w:tr>
      <w:tr w:rsidR="00D21F43" w:rsidRPr="001A5117" w14:paraId="271E5119" w14:textId="77777777" w:rsidTr="00361CD8">
        <w:tc>
          <w:tcPr>
            <w:tcW w:w="1390" w:type="dxa"/>
          </w:tcPr>
          <w:p w14:paraId="0B295E5B" w14:textId="77777777" w:rsidR="00D21F43" w:rsidRPr="00652304" w:rsidRDefault="00D21F43" w:rsidP="00361CD8">
            <w:pPr>
              <w:rPr>
                <w:rFonts w:ascii="Arial" w:hAnsi="Arial" w:cs="Arial"/>
                <w:sz w:val="22"/>
                <w:szCs w:val="22"/>
              </w:rPr>
            </w:pPr>
            <w:r w:rsidRPr="00652304">
              <w:rPr>
                <w:rFonts w:ascii="Arial" w:hAnsi="Arial" w:cs="Arial"/>
                <w:sz w:val="22"/>
                <w:szCs w:val="22"/>
              </w:rPr>
              <w:t>3.4</w:t>
            </w:r>
          </w:p>
        </w:tc>
        <w:tc>
          <w:tcPr>
            <w:tcW w:w="5698" w:type="dxa"/>
          </w:tcPr>
          <w:p w14:paraId="4D1587EC" w14:textId="77777777" w:rsidR="00D21F43" w:rsidRPr="00652304" w:rsidRDefault="00D21F43" w:rsidP="00361CD8">
            <w:pPr>
              <w:rPr>
                <w:rFonts w:ascii="Arial" w:hAnsi="Arial" w:cs="Arial"/>
                <w:sz w:val="22"/>
                <w:szCs w:val="22"/>
              </w:rPr>
            </w:pPr>
            <w:r w:rsidRPr="00652304">
              <w:rPr>
                <w:rFonts w:ascii="Arial" w:hAnsi="Arial" w:cs="Arial"/>
                <w:sz w:val="22"/>
                <w:szCs w:val="22"/>
              </w:rPr>
              <w:t>Key Performance Indicator 4 Measure of the Impact Services have on Enhancing Quality Of Life for Clients</w:t>
            </w:r>
          </w:p>
          <w:p w14:paraId="4E0C51C9" w14:textId="77777777" w:rsidR="00D21F43" w:rsidRPr="00652304" w:rsidRDefault="00D21F43" w:rsidP="00361CD8">
            <w:pPr>
              <w:rPr>
                <w:rFonts w:ascii="Arial" w:hAnsi="Arial" w:cs="Arial"/>
                <w:sz w:val="22"/>
                <w:szCs w:val="22"/>
              </w:rPr>
            </w:pPr>
          </w:p>
        </w:tc>
        <w:tc>
          <w:tcPr>
            <w:tcW w:w="1468" w:type="dxa"/>
          </w:tcPr>
          <w:p w14:paraId="49AA58D2" w14:textId="77777777" w:rsidR="00D21F43" w:rsidRPr="00652304" w:rsidRDefault="00566FC2" w:rsidP="00361CD8">
            <w:pPr>
              <w:rPr>
                <w:rFonts w:ascii="Arial" w:hAnsi="Arial" w:cs="Arial"/>
                <w:sz w:val="22"/>
                <w:szCs w:val="22"/>
              </w:rPr>
            </w:pPr>
            <w:r w:rsidRPr="00652304">
              <w:rPr>
                <w:rFonts w:ascii="Arial" w:hAnsi="Arial" w:cs="Arial"/>
                <w:sz w:val="22"/>
                <w:szCs w:val="22"/>
              </w:rPr>
              <w:t>8</w:t>
            </w:r>
          </w:p>
        </w:tc>
      </w:tr>
      <w:tr w:rsidR="00D21F43" w:rsidRPr="001A5117" w14:paraId="14F05809" w14:textId="77777777" w:rsidTr="00361CD8">
        <w:tc>
          <w:tcPr>
            <w:tcW w:w="1390" w:type="dxa"/>
          </w:tcPr>
          <w:p w14:paraId="5119F9A2" w14:textId="77777777" w:rsidR="00D21F43" w:rsidRPr="00652304" w:rsidRDefault="00D21F43" w:rsidP="00361CD8">
            <w:pPr>
              <w:rPr>
                <w:rFonts w:ascii="Arial" w:hAnsi="Arial" w:cs="Arial"/>
                <w:sz w:val="22"/>
                <w:szCs w:val="22"/>
              </w:rPr>
            </w:pPr>
            <w:r w:rsidRPr="00652304">
              <w:rPr>
                <w:rFonts w:ascii="Arial" w:hAnsi="Arial" w:cs="Arial"/>
                <w:sz w:val="22"/>
                <w:szCs w:val="22"/>
              </w:rPr>
              <w:t>3.5</w:t>
            </w:r>
          </w:p>
        </w:tc>
        <w:tc>
          <w:tcPr>
            <w:tcW w:w="5698" w:type="dxa"/>
          </w:tcPr>
          <w:p w14:paraId="6C8A959D" w14:textId="77777777" w:rsidR="00D21F43" w:rsidRPr="00652304" w:rsidRDefault="00D21F43" w:rsidP="00361CD8">
            <w:pPr>
              <w:rPr>
                <w:rFonts w:ascii="Arial" w:hAnsi="Arial" w:cs="Arial"/>
                <w:sz w:val="22"/>
                <w:szCs w:val="22"/>
              </w:rPr>
            </w:pPr>
            <w:r w:rsidRPr="00652304">
              <w:rPr>
                <w:rFonts w:ascii="Arial" w:hAnsi="Arial" w:cs="Arial"/>
                <w:sz w:val="22"/>
                <w:szCs w:val="22"/>
              </w:rPr>
              <w:t>Key Performance Indicator 5 Measure of the Impact Services have on Clients at Completion of Treatment</w:t>
            </w:r>
          </w:p>
        </w:tc>
        <w:tc>
          <w:tcPr>
            <w:tcW w:w="1468" w:type="dxa"/>
          </w:tcPr>
          <w:p w14:paraId="1B9A991B" w14:textId="77777777" w:rsidR="00D21F43" w:rsidRPr="00652304" w:rsidRDefault="00566FC2" w:rsidP="00361CD8">
            <w:pPr>
              <w:rPr>
                <w:rFonts w:ascii="Arial" w:hAnsi="Arial" w:cs="Arial"/>
                <w:sz w:val="22"/>
                <w:szCs w:val="22"/>
              </w:rPr>
            </w:pPr>
            <w:r w:rsidRPr="00652304">
              <w:rPr>
                <w:rFonts w:ascii="Arial" w:hAnsi="Arial" w:cs="Arial"/>
                <w:sz w:val="22"/>
                <w:szCs w:val="22"/>
              </w:rPr>
              <w:t>9</w:t>
            </w:r>
          </w:p>
        </w:tc>
      </w:tr>
      <w:tr w:rsidR="00D21F43" w:rsidRPr="00374AA4" w14:paraId="3B7C8DBF" w14:textId="77777777" w:rsidTr="00361CD8">
        <w:tc>
          <w:tcPr>
            <w:tcW w:w="1390" w:type="dxa"/>
          </w:tcPr>
          <w:p w14:paraId="636DFFB9" w14:textId="77777777" w:rsidR="00D21F43" w:rsidRPr="00652304" w:rsidRDefault="00D21F43" w:rsidP="00361CD8">
            <w:pPr>
              <w:rPr>
                <w:rFonts w:ascii="Arial" w:hAnsi="Arial" w:cs="Arial"/>
                <w:sz w:val="22"/>
                <w:szCs w:val="22"/>
              </w:rPr>
            </w:pPr>
          </w:p>
        </w:tc>
        <w:tc>
          <w:tcPr>
            <w:tcW w:w="5698" w:type="dxa"/>
          </w:tcPr>
          <w:p w14:paraId="0DF84DBA" w14:textId="77777777" w:rsidR="00D21F43" w:rsidRPr="00652304" w:rsidRDefault="00D21F43" w:rsidP="00361CD8">
            <w:pPr>
              <w:rPr>
                <w:rFonts w:ascii="Arial" w:hAnsi="Arial" w:cs="Arial"/>
                <w:sz w:val="22"/>
                <w:szCs w:val="22"/>
              </w:rPr>
            </w:pPr>
          </w:p>
        </w:tc>
        <w:tc>
          <w:tcPr>
            <w:tcW w:w="1468" w:type="dxa"/>
          </w:tcPr>
          <w:p w14:paraId="09CA932B" w14:textId="77777777" w:rsidR="00D21F43" w:rsidRPr="00652304" w:rsidRDefault="00D21F43" w:rsidP="00361CD8">
            <w:pPr>
              <w:rPr>
                <w:rFonts w:ascii="Arial" w:hAnsi="Arial" w:cs="Arial"/>
                <w:sz w:val="22"/>
                <w:szCs w:val="22"/>
              </w:rPr>
            </w:pPr>
          </w:p>
        </w:tc>
      </w:tr>
      <w:tr w:rsidR="00D21F43" w:rsidRPr="00374AA4" w14:paraId="46D34060" w14:textId="77777777" w:rsidTr="00361CD8">
        <w:tc>
          <w:tcPr>
            <w:tcW w:w="1390" w:type="dxa"/>
          </w:tcPr>
          <w:p w14:paraId="3456A9E9" w14:textId="77777777" w:rsidR="00D21F43" w:rsidRPr="00652304" w:rsidRDefault="00D21F43" w:rsidP="00361CD8">
            <w:pPr>
              <w:rPr>
                <w:rFonts w:ascii="Arial" w:hAnsi="Arial" w:cs="Arial"/>
                <w:sz w:val="22"/>
                <w:szCs w:val="22"/>
              </w:rPr>
            </w:pPr>
            <w:r w:rsidRPr="00652304">
              <w:rPr>
                <w:rFonts w:ascii="Arial" w:hAnsi="Arial" w:cs="Arial"/>
                <w:sz w:val="22"/>
                <w:szCs w:val="22"/>
              </w:rPr>
              <w:t>4.0</w:t>
            </w:r>
          </w:p>
        </w:tc>
        <w:tc>
          <w:tcPr>
            <w:tcW w:w="5698" w:type="dxa"/>
          </w:tcPr>
          <w:p w14:paraId="7BC11B18" w14:textId="77777777" w:rsidR="00D21F43" w:rsidRPr="00652304" w:rsidRDefault="00D21F43" w:rsidP="00361CD8">
            <w:pPr>
              <w:rPr>
                <w:rFonts w:ascii="Arial" w:hAnsi="Arial" w:cs="Arial"/>
                <w:sz w:val="22"/>
                <w:szCs w:val="22"/>
              </w:rPr>
            </w:pPr>
            <w:r w:rsidRPr="00652304">
              <w:rPr>
                <w:rFonts w:ascii="Arial" w:hAnsi="Arial" w:cs="Arial"/>
                <w:sz w:val="22"/>
                <w:szCs w:val="22"/>
              </w:rPr>
              <w:t>Reporting Requirements</w:t>
            </w:r>
          </w:p>
        </w:tc>
        <w:tc>
          <w:tcPr>
            <w:tcW w:w="1468" w:type="dxa"/>
          </w:tcPr>
          <w:p w14:paraId="3A39648D" w14:textId="77777777" w:rsidR="00D21F43" w:rsidRPr="00652304" w:rsidRDefault="00D21F43" w:rsidP="00361CD8">
            <w:pPr>
              <w:rPr>
                <w:rFonts w:ascii="Arial" w:hAnsi="Arial" w:cs="Arial"/>
                <w:sz w:val="22"/>
                <w:szCs w:val="22"/>
              </w:rPr>
            </w:pPr>
            <w:r w:rsidRPr="00652304">
              <w:rPr>
                <w:rFonts w:ascii="Arial" w:hAnsi="Arial" w:cs="Arial"/>
                <w:sz w:val="22"/>
                <w:szCs w:val="22"/>
              </w:rPr>
              <w:t>10</w:t>
            </w:r>
          </w:p>
        </w:tc>
      </w:tr>
      <w:tr w:rsidR="00D21F43" w:rsidRPr="00374AA4" w14:paraId="4E826670" w14:textId="77777777" w:rsidTr="00361CD8">
        <w:tc>
          <w:tcPr>
            <w:tcW w:w="1390" w:type="dxa"/>
          </w:tcPr>
          <w:p w14:paraId="315983D5" w14:textId="77777777" w:rsidR="00D21F43" w:rsidRPr="00652304" w:rsidRDefault="00D21F43" w:rsidP="00361CD8">
            <w:pPr>
              <w:rPr>
                <w:rFonts w:ascii="Arial" w:hAnsi="Arial" w:cs="Arial"/>
                <w:sz w:val="22"/>
                <w:szCs w:val="22"/>
              </w:rPr>
            </w:pPr>
          </w:p>
        </w:tc>
        <w:tc>
          <w:tcPr>
            <w:tcW w:w="5698" w:type="dxa"/>
          </w:tcPr>
          <w:p w14:paraId="52235DDE" w14:textId="77777777" w:rsidR="00D21F43" w:rsidRPr="00652304" w:rsidRDefault="00D21F43" w:rsidP="00361CD8">
            <w:pPr>
              <w:rPr>
                <w:rFonts w:ascii="Arial" w:hAnsi="Arial" w:cs="Arial"/>
                <w:sz w:val="22"/>
                <w:szCs w:val="22"/>
              </w:rPr>
            </w:pPr>
          </w:p>
        </w:tc>
        <w:tc>
          <w:tcPr>
            <w:tcW w:w="1468" w:type="dxa"/>
          </w:tcPr>
          <w:p w14:paraId="31D4DF2C" w14:textId="77777777" w:rsidR="00D21F43" w:rsidRPr="00652304" w:rsidRDefault="00D21F43" w:rsidP="00361CD8">
            <w:pPr>
              <w:rPr>
                <w:rFonts w:ascii="Arial" w:hAnsi="Arial" w:cs="Arial"/>
                <w:sz w:val="22"/>
                <w:szCs w:val="22"/>
              </w:rPr>
            </w:pPr>
          </w:p>
        </w:tc>
      </w:tr>
    </w:tbl>
    <w:p w14:paraId="7BA0AD27" w14:textId="77777777" w:rsidR="00D21F43" w:rsidRDefault="00D21F43" w:rsidP="00D21F43">
      <w:pPr>
        <w:rPr>
          <w:rFonts w:ascii="Arial" w:eastAsia="Calibri" w:hAnsi="Arial" w:cs="Arial"/>
          <w:color w:val="FF0000"/>
          <w:sz w:val="22"/>
          <w:szCs w:val="22"/>
          <w:lang w:eastAsia="en-US"/>
        </w:rPr>
      </w:pPr>
      <w:r>
        <w:rPr>
          <w:rFonts w:ascii="Arial" w:eastAsia="Calibri" w:hAnsi="Arial" w:cs="Arial"/>
          <w:color w:val="FF0000"/>
          <w:sz w:val="22"/>
          <w:szCs w:val="22"/>
          <w:lang w:eastAsia="en-US"/>
        </w:rPr>
        <w:t xml:space="preserve">  </w:t>
      </w:r>
    </w:p>
    <w:p w14:paraId="5E1FA288" w14:textId="77777777" w:rsidR="00D21F43" w:rsidRDefault="00D21F43" w:rsidP="00D21F43">
      <w:pPr>
        <w:rPr>
          <w:rFonts w:ascii="Arial" w:eastAsia="Calibri" w:hAnsi="Arial" w:cs="Arial"/>
          <w:color w:val="FF0000"/>
          <w:sz w:val="22"/>
          <w:szCs w:val="22"/>
          <w:lang w:eastAsia="en-US"/>
        </w:rPr>
      </w:pPr>
      <w:r>
        <w:rPr>
          <w:rFonts w:ascii="Arial" w:eastAsia="Calibri" w:hAnsi="Arial" w:cs="Arial"/>
          <w:color w:val="FF0000"/>
          <w:sz w:val="22"/>
          <w:szCs w:val="22"/>
          <w:lang w:eastAsia="en-US"/>
        </w:rPr>
        <w:br w:type="page"/>
      </w:r>
    </w:p>
    <w:p w14:paraId="7EAB34DD" w14:textId="77777777" w:rsidR="00D21F43" w:rsidRPr="00544F30" w:rsidRDefault="00D21F43" w:rsidP="00D21F43">
      <w:pPr>
        <w:rPr>
          <w:rFonts w:ascii="Arial" w:eastAsia="Calibri" w:hAnsi="Arial" w:cs="Arial"/>
          <w:color w:val="FF0000"/>
          <w:sz w:val="22"/>
          <w:szCs w:val="22"/>
          <w:lang w:eastAsia="en-US"/>
        </w:rPr>
      </w:pPr>
    </w:p>
    <w:p w14:paraId="0917ECFD" w14:textId="77777777" w:rsidR="00D21F43" w:rsidRPr="00544F30" w:rsidRDefault="00D21F43" w:rsidP="00D21F43">
      <w:pPr>
        <w:rPr>
          <w:rFonts w:ascii="Arial" w:eastAsia="Calibri" w:hAnsi="Arial" w:cs="Arial"/>
          <w:b/>
          <w:color w:val="FF0000"/>
          <w:lang w:eastAsia="en-US"/>
        </w:rPr>
      </w:pPr>
    </w:p>
    <w:p w14:paraId="75EB4C32" w14:textId="77777777" w:rsidR="00D21F43" w:rsidRPr="00374AA4" w:rsidRDefault="00D21F43" w:rsidP="00D21F43">
      <w:pPr>
        <w:rPr>
          <w:rFonts w:ascii="Arial" w:hAnsi="Arial" w:cs="Arial"/>
          <w:b/>
          <w:u w:val="single"/>
        </w:rPr>
      </w:pPr>
      <w:r w:rsidRPr="00374AA4">
        <w:rPr>
          <w:rFonts w:ascii="Arial" w:hAnsi="Arial" w:cs="Arial"/>
          <w:b/>
          <w:u w:val="single"/>
        </w:rPr>
        <w:t>1.0 Introduction</w:t>
      </w:r>
    </w:p>
    <w:p w14:paraId="5ED71366" w14:textId="77777777" w:rsidR="00D21F43" w:rsidRPr="00374AA4" w:rsidRDefault="00D21F43" w:rsidP="00D21F43">
      <w:pPr>
        <w:jc w:val="center"/>
        <w:rPr>
          <w:rFonts w:ascii="Arial" w:hAnsi="Arial" w:cs="Arial"/>
          <w:b/>
          <w:i/>
          <w:u w:val="single"/>
        </w:rPr>
      </w:pPr>
    </w:p>
    <w:p w14:paraId="7C1005FE" w14:textId="77777777" w:rsidR="00D21F43" w:rsidRPr="00652304" w:rsidRDefault="00D21F43" w:rsidP="00D21F43">
      <w:pPr>
        <w:jc w:val="both"/>
        <w:rPr>
          <w:rFonts w:ascii="Arial" w:hAnsi="Arial" w:cs="Arial"/>
          <w:sz w:val="22"/>
          <w:szCs w:val="22"/>
        </w:rPr>
      </w:pPr>
      <w:r w:rsidRPr="00652304">
        <w:rPr>
          <w:rFonts w:ascii="Arial" w:hAnsi="Arial" w:cs="Arial"/>
          <w:sz w:val="22"/>
          <w:szCs w:val="22"/>
        </w:rPr>
        <w:t xml:space="preserve">In </w:t>
      </w:r>
      <w:r w:rsidR="00175690" w:rsidRPr="00652304">
        <w:rPr>
          <w:rFonts w:ascii="Arial" w:hAnsi="Arial" w:cs="Arial"/>
          <w:sz w:val="22"/>
          <w:szCs w:val="22"/>
        </w:rPr>
        <w:t>2016/17</w:t>
      </w:r>
      <w:r w:rsidRPr="00652304">
        <w:rPr>
          <w:rFonts w:ascii="Arial" w:hAnsi="Arial" w:cs="Arial"/>
          <w:sz w:val="22"/>
          <w:szCs w:val="22"/>
        </w:rPr>
        <w:t xml:space="preserve"> the Welsh Government announced that a formal review of the current key performance indicators for substance misuse treatment services in Wales would take </w:t>
      </w:r>
      <w:r w:rsidR="00175690" w:rsidRPr="00652304">
        <w:rPr>
          <w:rFonts w:ascii="Arial" w:hAnsi="Arial" w:cs="Arial"/>
          <w:sz w:val="22"/>
          <w:szCs w:val="22"/>
        </w:rPr>
        <w:t>place</w:t>
      </w:r>
      <w:r w:rsidRPr="00652304">
        <w:rPr>
          <w:rFonts w:ascii="Arial" w:hAnsi="Arial" w:cs="Arial"/>
          <w:sz w:val="22"/>
          <w:szCs w:val="22"/>
        </w:rPr>
        <w:t>.</w:t>
      </w:r>
    </w:p>
    <w:p w14:paraId="0DC2EE97" w14:textId="77777777" w:rsidR="00D21F43" w:rsidRPr="00652304" w:rsidRDefault="00D21F43" w:rsidP="00D21F43">
      <w:pPr>
        <w:ind w:left="720"/>
        <w:jc w:val="both"/>
        <w:rPr>
          <w:rFonts w:ascii="Arial" w:hAnsi="Arial" w:cs="Arial"/>
          <w:sz w:val="22"/>
          <w:szCs w:val="22"/>
        </w:rPr>
      </w:pPr>
    </w:p>
    <w:p w14:paraId="0A47E083" w14:textId="739FBAE3" w:rsidR="00D21F43" w:rsidRPr="00652304" w:rsidRDefault="00D21F43" w:rsidP="00D21F43">
      <w:pPr>
        <w:jc w:val="both"/>
        <w:rPr>
          <w:rFonts w:ascii="Arial" w:hAnsi="Arial" w:cs="Arial"/>
          <w:sz w:val="22"/>
          <w:szCs w:val="22"/>
        </w:rPr>
      </w:pPr>
      <w:r w:rsidRPr="00652304">
        <w:rPr>
          <w:rFonts w:ascii="Arial" w:hAnsi="Arial" w:cs="Arial"/>
          <w:sz w:val="22"/>
          <w:szCs w:val="22"/>
        </w:rPr>
        <w:t>The revised suit</w:t>
      </w:r>
      <w:r w:rsidR="00175690" w:rsidRPr="00652304">
        <w:rPr>
          <w:rFonts w:ascii="Arial" w:hAnsi="Arial" w:cs="Arial"/>
          <w:sz w:val="22"/>
          <w:szCs w:val="22"/>
        </w:rPr>
        <w:t>e of indicators were approved by the Data Information Analysis Board (DIAB)</w:t>
      </w:r>
      <w:r w:rsidRPr="00652304">
        <w:rPr>
          <w:rFonts w:ascii="Arial" w:hAnsi="Arial" w:cs="Arial"/>
          <w:sz w:val="22"/>
          <w:szCs w:val="22"/>
        </w:rPr>
        <w:t xml:space="preserve"> comprising of substance misuse providers and commissioners, representatives from </w:t>
      </w:r>
      <w:r w:rsidR="000C1B88">
        <w:rPr>
          <w:rFonts w:ascii="Arial" w:hAnsi="Arial" w:cs="Arial"/>
          <w:sz w:val="22"/>
          <w:szCs w:val="22"/>
        </w:rPr>
        <w:t>Digital Health &amp; Care Wales</w:t>
      </w:r>
      <w:r w:rsidRPr="00652304">
        <w:rPr>
          <w:rFonts w:ascii="Arial" w:hAnsi="Arial" w:cs="Arial"/>
          <w:sz w:val="22"/>
          <w:szCs w:val="22"/>
        </w:rPr>
        <w:t xml:space="preserve"> (</w:t>
      </w:r>
      <w:r w:rsidR="000C1B88">
        <w:rPr>
          <w:rFonts w:ascii="Arial" w:hAnsi="Arial" w:cs="Arial"/>
          <w:sz w:val="22"/>
          <w:szCs w:val="22"/>
        </w:rPr>
        <w:t>DHCW</w:t>
      </w:r>
      <w:r w:rsidRPr="00652304">
        <w:rPr>
          <w:rFonts w:ascii="Arial" w:hAnsi="Arial" w:cs="Arial"/>
          <w:sz w:val="22"/>
          <w:szCs w:val="22"/>
        </w:rPr>
        <w:t xml:space="preserve">) who host the database and Welsh Government officials. </w:t>
      </w:r>
    </w:p>
    <w:p w14:paraId="027CCA46" w14:textId="77777777" w:rsidR="00D21F43" w:rsidRPr="00652304" w:rsidRDefault="00D21F43" w:rsidP="00D21F43">
      <w:pPr>
        <w:jc w:val="both"/>
        <w:rPr>
          <w:rFonts w:ascii="Arial" w:hAnsi="Arial" w:cs="Arial"/>
          <w:sz w:val="22"/>
          <w:szCs w:val="22"/>
        </w:rPr>
      </w:pPr>
    </w:p>
    <w:p w14:paraId="08689A41" w14:textId="3573417E" w:rsidR="00D21F43" w:rsidRDefault="00D21F43" w:rsidP="00D21F43">
      <w:pPr>
        <w:jc w:val="both"/>
        <w:rPr>
          <w:rFonts w:ascii="Arial" w:hAnsi="Arial" w:cs="Arial"/>
          <w:sz w:val="22"/>
          <w:szCs w:val="22"/>
        </w:rPr>
      </w:pPr>
      <w:r w:rsidRPr="00652304">
        <w:rPr>
          <w:rFonts w:ascii="Arial" w:hAnsi="Arial" w:cs="Arial"/>
          <w:sz w:val="22"/>
          <w:szCs w:val="22"/>
        </w:rPr>
        <w:t xml:space="preserve">The review ensured that the key performance indicators remained fit for purpose and also looked to incorporate some outcome focussed indicators as the previous suite of indicators had focussed on activity information. </w:t>
      </w:r>
    </w:p>
    <w:p w14:paraId="21A45086" w14:textId="2DBEB6EF" w:rsidR="009F4171" w:rsidRDefault="009F4171" w:rsidP="00D21F43">
      <w:pPr>
        <w:jc w:val="both"/>
        <w:rPr>
          <w:rFonts w:ascii="Arial" w:hAnsi="Arial" w:cs="Arial"/>
          <w:sz w:val="22"/>
          <w:szCs w:val="22"/>
        </w:rPr>
      </w:pPr>
    </w:p>
    <w:p w14:paraId="59639397" w14:textId="5814CB75" w:rsidR="009F4171" w:rsidRDefault="009F4171" w:rsidP="009F4171">
      <w:pPr>
        <w:rPr>
          <w:rFonts w:ascii="Arial" w:hAnsi="Arial" w:cs="Arial"/>
          <w:sz w:val="22"/>
          <w:szCs w:val="22"/>
        </w:rPr>
      </w:pPr>
      <w:r>
        <w:rPr>
          <w:rFonts w:ascii="Arial" w:hAnsi="Arial" w:cs="Arial"/>
          <w:sz w:val="22"/>
          <w:szCs w:val="22"/>
        </w:rPr>
        <w:t xml:space="preserve">The review was undertaken following a discussion at the Data Information Analysis Board (DIAB) on the current KPIs and the need to review these to consider whether they were still the most appropriate KPIs for reporting on the services provided, and to ensure that the way in which data is collected and reported, is consistent and comparable across Wales. </w:t>
      </w:r>
    </w:p>
    <w:p w14:paraId="45EE8452" w14:textId="77777777" w:rsidR="009F4171" w:rsidRDefault="009F4171" w:rsidP="009F4171">
      <w:pPr>
        <w:rPr>
          <w:rFonts w:ascii="Arial" w:hAnsi="Arial" w:cs="Arial"/>
          <w:sz w:val="22"/>
          <w:szCs w:val="22"/>
        </w:rPr>
      </w:pPr>
      <w:bookmarkStart w:id="0" w:name="_GoBack"/>
      <w:bookmarkEnd w:id="0"/>
    </w:p>
    <w:p w14:paraId="73EA1E7B" w14:textId="77777777" w:rsidR="009F4171" w:rsidRDefault="009F4171" w:rsidP="009F4171">
      <w:pPr>
        <w:rPr>
          <w:rFonts w:ascii="Arial" w:hAnsi="Arial" w:cs="Arial"/>
        </w:rPr>
      </w:pPr>
      <w:r>
        <w:rPr>
          <w:rFonts w:ascii="Arial" w:hAnsi="Arial" w:cs="Arial"/>
        </w:rPr>
        <w:t>It was agreed that a working group would be established to review the KPIs and the existing guidance.</w:t>
      </w:r>
    </w:p>
    <w:p w14:paraId="087CC1B3" w14:textId="15C16218" w:rsidR="009F4171" w:rsidRPr="00652304" w:rsidRDefault="009F4171" w:rsidP="00D21F43">
      <w:pPr>
        <w:jc w:val="both"/>
        <w:rPr>
          <w:rFonts w:ascii="Arial" w:hAnsi="Arial" w:cs="Arial"/>
          <w:sz w:val="22"/>
          <w:szCs w:val="22"/>
        </w:rPr>
      </w:pPr>
    </w:p>
    <w:p w14:paraId="2FF25348" w14:textId="77777777" w:rsidR="00D21F43" w:rsidRPr="00374AA4" w:rsidRDefault="00D21F43" w:rsidP="00D21F43">
      <w:pPr>
        <w:ind w:left="720"/>
        <w:jc w:val="both"/>
        <w:rPr>
          <w:rFonts w:ascii="Arial" w:hAnsi="Arial" w:cs="Arial"/>
        </w:rPr>
      </w:pPr>
    </w:p>
    <w:p w14:paraId="7E71CD4E" w14:textId="77777777" w:rsidR="00D21F43" w:rsidRPr="00374AA4" w:rsidRDefault="00D21F43" w:rsidP="00D21F43">
      <w:pPr>
        <w:jc w:val="both"/>
        <w:rPr>
          <w:rFonts w:ascii="Arial" w:hAnsi="Arial" w:cs="Arial"/>
          <w:b/>
          <w:u w:val="single"/>
        </w:rPr>
      </w:pPr>
      <w:r w:rsidRPr="00374AA4">
        <w:rPr>
          <w:rFonts w:ascii="Arial" w:hAnsi="Arial" w:cs="Arial"/>
          <w:b/>
          <w:u w:val="single"/>
        </w:rPr>
        <w:t>2.0 The Scope of the Key Performance Indicators</w:t>
      </w:r>
    </w:p>
    <w:p w14:paraId="6EDE2A53" w14:textId="77777777" w:rsidR="00D21F43" w:rsidRPr="00374AA4" w:rsidRDefault="00D21F43" w:rsidP="00D21F43">
      <w:pPr>
        <w:jc w:val="both"/>
        <w:rPr>
          <w:rFonts w:ascii="Arial" w:hAnsi="Arial" w:cs="Arial"/>
          <w:b/>
        </w:rPr>
      </w:pPr>
    </w:p>
    <w:p w14:paraId="5C0A937C" w14:textId="77777777" w:rsidR="00D21F43" w:rsidRPr="00652304" w:rsidRDefault="00D21F43" w:rsidP="00D21F43">
      <w:pPr>
        <w:jc w:val="both"/>
        <w:rPr>
          <w:rFonts w:ascii="Arial" w:hAnsi="Arial" w:cs="Arial"/>
          <w:sz w:val="22"/>
          <w:szCs w:val="22"/>
        </w:rPr>
      </w:pPr>
      <w:r w:rsidRPr="00652304">
        <w:rPr>
          <w:rFonts w:ascii="Arial" w:hAnsi="Arial" w:cs="Arial"/>
          <w:sz w:val="22"/>
          <w:szCs w:val="22"/>
        </w:rPr>
        <w:t xml:space="preserve">These national performance indicators apply to treatment services (delivered in Wales) for individuals who misuse alcohol, drugs and other substances. This includes clients’ resident in England but in receipt of Welsh treatment services. </w:t>
      </w:r>
    </w:p>
    <w:p w14:paraId="1CC8D417" w14:textId="77777777" w:rsidR="00D21F43" w:rsidRPr="00652304" w:rsidRDefault="00D21F43" w:rsidP="00D21F43">
      <w:pPr>
        <w:jc w:val="both"/>
        <w:rPr>
          <w:rFonts w:ascii="Arial" w:hAnsi="Arial" w:cs="Arial"/>
          <w:sz w:val="22"/>
          <w:szCs w:val="22"/>
        </w:rPr>
      </w:pPr>
    </w:p>
    <w:p w14:paraId="5F7D3A3D" w14:textId="77777777" w:rsidR="00D21F43" w:rsidRPr="00652304" w:rsidRDefault="00D21F43" w:rsidP="00D21F43">
      <w:pPr>
        <w:jc w:val="both"/>
        <w:rPr>
          <w:rFonts w:ascii="Arial" w:hAnsi="Arial" w:cs="Arial"/>
          <w:sz w:val="22"/>
          <w:szCs w:val="22"/>
        </w:rPr>
      </w:pPr>
      <w:r w:rsidRPr="00652304">
        <w:rPr>
          <w:rFonts w:ascii="Arial" w:hAnsi="Arial" w:cs="Arial"/>
          <w:sz w:val="22"/>
          <w:szCs w:val="22"/>
        </w:rPr>
        <w:t xml:space="preserve">The following is not within the scope of this guidance: </w:t>
      </w:r>
    </w:p>
    <w:p w14:paraId="623025BA" w14:textId="77777777" w:rsidR="00D21F43" w:rsidRPr="00652304" w:rsidRDefault="00D21F43" w:rsidP="00D21F43">
      <w:pPr>
        <w:numPr>
          <w:ilvl w:val="0"/>
          <w:numId w:val="1"/>
        </w:numPr>
        <w:spacing w:after="200" w:line="276" w:lineRule="auto"/>
        <w:contextualSpacing/>
        <w:jc w:val="both"/>
        <w:rPr>
          <w:rFonts w:ascii="Arial" w:eastAsia="Calibri" w:hAnsi="Arial" w:cs="Arial"/>
          <w:sz w:val="22"/>
          <w:szCs w:val="22"/>
          <w:lang w:eastAsia="en-US"/>
        </w:rPr>
      </w:pPr>
      <w:r w:rsidRPr="00652304">
        <w:rPr>
          <w:rFonts w:ascii="Arial" w:eastAsia="Calibri" w:hAnsi="Arial" w:cs="Arial"/>
          <w:sz w:val="22"/>
          <w:szCs w:val="22"/>
          <w:lang w:eastAsia="en-US"/>
        </w:rPr>
        <w:t xml:space="preserve">Clients’ resident in Wales but in receipt of English treatment services. </w:t>
      </w:r>
    </w:p>
    <w:p w14:paraId="6C243C2A" w14:textId="77777777" w:rsidR="00D21F43" w:rsidRPr="00652304" w:rsidRDefault="00D21F43" w:rsidP="00D21F43">
      <w:pPr>
        <w:numPr>
          <w:ilvl w:val="0"/>
          <w:numId w:val="1"/>
        </w:numPr>
        <w:spacing w:after="200" w:line="276" w:lineRule="auto"/>
        <w:contextualSpacing/>
        <w:jc w:val="both"/>
        <w:rPr>
          <w:rFonts w:ascii="Arial" w:eastAsia="Calibri" w:hAnsi="Arial" w:cs="Arial"/>
          <w:sz w:val="22"/>
          <w:szCs w:val="22"/>
          <w:lang w:eastAsia="en-US"/>
        </w:rPr>
      </w:pPr>
      <w:r w:rsidRPr="00652304">
        <w:rPr>
          <w:rFonts w:ascii="Arial" w:eastAsia="Calibri" w:hAnsi="Arial" w:cs="Arial"/>
          <w:sz w:val="22"/>
          <w:szCs w:val="22"/>
          <w:lang w:eastAsia="en-US"/>
        </w:rPr>
        <w:t>Wraparound services delivered to substance misuse clients or interventions provided to carers and concerned others.</w:t>
      </w:r>
    </w:p>
    <w:p w14:paraId="4525112B" w14:textId="77777777" w:rsidR="00D21F43" w:rsidRPr="00374AA4" w:rsidRDefault="00D21F43" w:rsidP="00D21F43">
      <w:pPr>
        <w:spacing w:after="200" w:line="276" w:lineRule="auto"/>
        <w:ind w:left="720"/>
        <w:contextualSpacing/>
        <w:jc w:val="both"/>
        <w:rPr>
          <w:rFonts w:ascii="Arial" w:eastAsia="Calibri" w:hAnsi="Arial" w:cs="Arial"/>
          <w:color w:val="FF0000"/>
          <w:lang w:eastAsia="en-US"/>
        </w:rPr>
      </w:pPr>
    </w:p>
    <w:p w14:paraId="3A10667A" w14:textId="77777777" w:rsidR="00D21F43" w:rsidRPr="00374AA4" w:rsidRDefault="00D21F43" w:rsidP="00D21F43">
      <w:pPr>
        <w:jc w:val="both"/>
        <w:rPr>
          <w:rFonts w:ascii="Arial" w:hAnsi="Arial" w:cs="Arial"/>
          <w:b/>
          <w:u w:val="single"/>
          <w:lang w:eastAsia="en-US"/>
        </w:rPr>
      </w:pPr>
      <w:r w:rsidRPr="00374AA4">
        <w:rPr>
          <w:rFonts w:ascii="Arial" w:hAnsi="Arial" w:cs="Arial"/>
          <w:b/>
          <w:u w:val="single"/>
          <w:lang w:eastAsia="en-US"/>
        </w:rPr>
        <w:t>3.0 Guidance to Implement Indicators</w:t>
      </w:r>
    </w:p>
    <w:p w14:paraId="22383794" w14:textId="77777777" w:rsidR="00D21F43" w:rsidRPr="00374AA4" w:rsidRDefault="00D21F43" w:rsidP="00D21F43">
      <w:pPr>
        <w:jc w:val="both"/>
        <w:rPr>
          <w:rFonts w:ascii="Arial" w:hAnsi="Arial" w:cs="Arial"/>
          <w:b/>
          <w:u w:val="single"/>
          <w:lang w:eastAsia="en-US"/>
        </w:rPr>
      </w:pPr>
    </w:p>
    <w:p w14:paraId="61B8F9C3" w14:textId="77777777" w:rsidR="00D21F43" w:rsidRPr="00652304" w:rsidRDefault="00D21F43" w:rsidP="00D21F43">
      <w:pPr>
        <w:jc w:val="both"/>
        <w:rPr>
          <w:rFonts w:ascii="Arial" w:hAnsi="Arial" w:cs="Arial"/>
          <w:sz w:val="22"/>
          <w:szCs w:val="22"/>
          <w:lang w:eastAsia="en-US"/>
        </w:rPr>
      </w:pPr>
      <w:r w:rsidRPr="00652304">
        <w:rPr>
          <w:rFonts w:ascii="Arial" w:hAnsi="Arial" w:cs="Arial"/>
          <w:sz w:val="22"/>
          <w:szCs w:val="22"/>
          <w:lang w:eastAsia="en-US"/>
        </w:rPr>
        <w:t xml:space="preserve">The following pages provide additional guidance on each of the indicators. To note the provisional indicator measuring injecting risk has been omitted from this suite of indicators. </w:t>
      </w:r>
    </w:p>
    <w:p w14:paraId="1052953E" w14:textId="77777777" w:rsidR="00D21F43" w:rsidRPr="00652304" w:rsidRDefault="00D21F43" w:rsidP="00D21F43">
      <w:pPr>
        <w:jc w:val="both"/>
        <w:rPr>
          <w:rFonts w:ascii="Arial" w:hAnsi="Arial" w:cs="Arial"/>
          <w:sz w:val="22"/>
          <w:szCs w:val="22"/>
          <w:lang w:eastAsia="en-US"/>
        </w:rPr>
      </w:pPr>
    </w:p>
    <w:p w14:paraId="4B343879" w14:textId="25FD978C" w:rsidR="00D21F43" w:rsidRPr="00652304" w:rsidRDefault="00D21F43" w:rsidP="00D21F43">
      <w:pPr>
        <w:jc w:val="both"/>
        <w:rPr>
          <w:rFonts w:ascii="Arial" w:hAnsi="Arial" w:cs="Arial"/>
          <w:sz w:val="22"/>
          <w:szCs w:val="22"/>
          <w:lang w:eastAsia="en-US"/>
        </w:rPr>
      </w:pPr>
      <w:r w:rsidRPr="00652304">
        <w:rPr>
          <w:rFonts w:ascii="Arial" w:hAnsi="Arial" w:cs="Arial"/>
          <w:sz w:val="22"/>
          <w:szCs w:val="22"/>
          <w:lang w:eastAsia="en-US"/>
        </w:rPr>
        <w:t xml:space="preserve">Providers and commissioners of substance misuse treatment services are able to analyse their own progress in relation to each of these indicators by accessing the </w:t>
      </w:r>
      <w:r w:rsidR="000C1B88">
        <w:rPr>
          <w:rFonts w:ascii="Arial" w:hAnsi="Arial" w:cs="Arial"/>
          <w:sz w:val="22"/>
          <w:szCs w:val="22"/>
          <w:lang w:eastAsia="en-US"/>
        </w:rPr>
        <w:t>Digital Health &amp; Care Wales</w:t>
      </w:r>
      <w:r w:rsidRPr="00652304">
        <w:rPr>
          <w:rFonts w:ascii="Arial" w:hAnsi="Arial" w:cs="Arial"/>
          <w:sz w:val="22"/>
          <w:szCs w:val="22"/>
          <w:lang w:eastAsia="en-US"/>
        </w:rPr>
        <w:t xml:space="preserve"> hosted </w:t>
      </w:r>
      <w:r w:rsidR="000C1B88">
        <w:rPr>
          <w:rFonts w:ascii="Arial" w:hAnsi="Arial" w:cs="Arial"/>
          <w:sz w:val="22"/>
          <w:szCs w:val="22"/>
          <w:lang w:eastAsia="en-US"/>
        </w:rPr>
        <w:t xml:space="preserve">(DHCW) </w:t>
      </w:r>
      <w:r w:rsidRPr="00652304">
        <w:rPr>
          <w:rFonts w:ascii="Arial" w:hAnsi="Arial" w:cs="Arial"/>
          <w:sz w:val="22"/>
          <w:szCs w:val="22"/>
          <w:lang w:eastAsia="en-US"/>
        </w:rPr>
        <w:t xml:space="preserve">website. Additional guidance is provided on this site in respect to navigating these reports. </w:t>
      </w:r>
    </w:p>
    <w:p w14:paraId="2D6768B4" w14:textId="77777777" w:rsidR="00D21F43" w:rsidRPr="00652304" w:rsidRDefault="00D21F43" w:rsidP="00D21F43">
      <w:pPr>
        <w:jc w:val="both"/>
        <w:rPr>
          <w:rFonts w:ascii="Arial" w:hAnsi="Arial" w:cs="Arial"/>
          <w:sz w:val="22"/>
          <w:szCs w:val="22"/>
          <w:lang w:eastAsia="en-US"/>
        </w:rPr>
      </w:pPr>
    </w:p>
    <w:p w14:paraId="732886B2" w14:textId="77777777" w:rsidR="00D21F43" w:rsidRPr="00652304" w:rsidRDefault="00D21F43" w:rsidP="00D21F43">
      <w:pPr>
        <w:jc w:val="both"/>
        <w:rPr>
          <w:rFonts w:ascii="Arial" w:hAnsi="Arial" w:cs="Arial"/>
          <w:sz w:val="22"/>
          <w:szCs w:val="22"/>
          <w:u w:val="single"/>
          <w:lang w:eastAsia="en-US"/>
        </w:rPr>
      </w:pPr>
      <w:r w:rsidRPr="00652304">
        <w:rPr>
          <w:rFonts w:ascii="Arial" w:hAnsi="Arial" w:cs="Arial"/>
          <w:sz w:val="22"/>
          <w:szCs w:val="22"/>
          <w:lang w:eastAsia="en-US"/>
        </w:rPr>
        <w:t xml:space="preserve">Further information can be obtained from the Welsh Government Substance Misuse Advisory Regional Teams (SMARTs) or at </w:t>
      </w:r>
      <w:hyperlink r:id="rId9" w:history="1">
        <w:r w:rsidRPr="00652304">
          <w:rPr>
            <w:rFonts w:ascii="Arial" w:hAnsi="Arial" w:cs="Arial"/>
            <w:sz w:val="22"/>
            <w:szCs w:val="22"/>
            <w:u w:val="single"/>
            <w:lang w:eastAsia="en-US"/>
          </w:rPr>
          <w:t>substancemisuse-queries@wales.nhs.uk</w:t>
        </w:r>
      </w:hyperlink>
      <w:r w:rsidRPr="00652304">
        <w:rPr>
          <w:rFonts w:ascii="Arial" w:hAnsi="Arial" w:cs="Arial"/>
          <w:sz w:val="22"/>
          <w:szCs w:val="22"/>
          <w:u w:val="single"/>
          <w:lang w:eastAsia="en-US"/>
        </w:rPr>
        <w:t xml:space="preserve">. </w:t>
      </w:r>
    </w:p>
    <w:p w14:paraId="74C45B8A" w14:textId="77777777" w:rsidR="00D21F43" w:rsidRPr="00374AA4" w:rsidRDefault="00D21F43" w:rsidP="00D21F43">
      <w:pPr>
        <w:jc w:val="both"/>
        <w:rPr>
          <w:rFonts w:ascii="Arial" w:hAnsi="Arial" w:cs="Arial"/>
          <w:color w:val="FF0000"/>
          <w:u w:val="single"/>
          <w:lang w:eastAsia="en-US"/>
        </w:rPr>
      </w:pPr>
    </w:p>
    <w:p w14:paraId="2BF8A728" w14:textId="77777777" w:rsidR="00356175" w:rsidRDefault="00356175" w:rsidP="00566FC2">
      <w:pPr>
        <w:rPr>
          <w:rFonts w:ascii="Arial" w:hAnsi="Arial" w:cs="Arial"/>
          <w:b/>
          <w:u w:val="single"/>
        </w:rPr>
      </w:pPr>
    </w:p>
    <w:p w14:paraId="7D318444" w14:textId="77777777" w:rsidR="00356175" w:rsidRDefault="00356175" w:rsidP="00566FC2">
      <w:pPr>
        <w:rPr>
          <w:rFonts w:ascii="Arial" w:hAnsi="Arial" w:cs="Arial"/>
          <w:b/>
          <w:u w:val="single"/>
        </w:rPr>
      </w:pPr>
    </w:p>
    <w:p w14:paraId="6FAC23A1" w14:textId="77777777" w:rsidR="00356175" w:rsidRDefault="00356175" w:rsidP="00566FC2">
      <w:pPr>
        <w:rPr>
          <w:rFonts w:ascii="Arial" w:hAnsi="Arial" w:cs="Arial"/>
          <w:b/>
          <w:u w:val="single"/>
        </w:rPr>
      </w:pPr>
    </w:p>
    <w:p w14:paraId="39DFCC4D" w14:textId="77777777" w:rsidR="00356175" w:rsidRDefault="00356175" w:rsidP="00566FC2">
      <w:pPr>
        <w:rPr>
          <w:rFonts w:ascii="Arial" w:hAnsi="Arial" w:cs="Arial"/>
          <w:b/>
          <w:u w:val="single"/>
        </w:rPr>
      </w:pPr>
    </w:p>
    <w:p w14:paraId="59AD86B4" w14:textId="77777777" w:rsidR="00356175" w:rsidRDefault="00356175" w:rsidP="00566FC2">
      <w:pPr>
        <w:rPr>
          <w:rFonts w:ascii="Arial" w:hAnsi="Arial" w:cs="Arial"/>
          <w:b/>
          <w:u w:val="single"/>
        </w:rPr>
      </w:pPr>
    </w:p>
    <w:p w14:paraId="71159455" w14:textId="77777777" w:rsidR="00356175" w:rsidRDefault="00356175" w:rsidP="00566FC2">
      <w:pPr>
        <w:rPr>
          <w:rFonts w:ascii="Arial" w:hAnsi="Arial" w:cs="Arial"/>
          <w:b/>
          <w:u w:val="single"/>
        </w:rPr>
      </w:pPr>
    </w:p>
    <w:p w14:paraId="63E88520" w14:textId="77777777" w:rsidR="00356175" w:rsidRDefault="00356175" w:rsidP="00566FC2">
      <w:pPr>
        <w:rPr>
          <w:rFonts w:ascii="Arial" w:hAnsi="Arial" w:cs="Arial"/>
          <w:b/>
          <w:u w:val="single"/>
        </w:rPr>
      </w:pPr>
    </w:p>
    <w:p w14:paraId="6A480D64" w14:textId="77777777" w:rsidR="00356175" w:rsidRDefault="00356175" w:rsidP="00566FC2">
      <w:pPr>
        <w:rPr>
          <w:rFonts w:ascii="Arial" w:hAnsi="Arial" w:cs="Arial"/>
          <w:b/>
          <w:u w:val="single"/>
        </w:rPr>
      </w:pPr>
    </w:p>
    <w:p w14:paraId="69369D54" w14:textId="77777777" w:rsidR="00356175" w:rsidRDefault="00356175" w:rsidP="00566FC2">
      <w:pPr>
        <w:rPr>
          <w:rFonts w:ascii="Arial" w:hAnsi="Arial" w:cs="Arial"/>
          <w:b/>
          <w:u w:val="single"/>
        </w:rPr>
      </w:pPr>
    </w:p>
    <w:p w14:paraId="6F3E7DD9" w14:textId="77777777" w:rsidR="00652304" w:rsidRDefault="00652304" w:rsidP="00566FC2">
      <w:pPr>
        <w:rPr>
          <w:rFonts w:ascii="Arial" w:hAnsi="Arial" w:cs="Arial"/>
          <w:b/>
          <w:u w:val="single"/>
        </w:rPr>
      </w:pPr>
    </w:p>
    <w:p w14:paraId="4B6EE1F8" w14:textId="77777777" w:rsidR="00652304" w:rsidRDefault="00652304" w:rsidP="00566FC2">
      <w:pPr>
        <w:rPr>
          <w:rFonts w:ascii="Arial" w:hAnsi="Arial" w:cs="Arial"/>
          <w:b/>
          <w:u w:val="single"/>
        </w:rPr>
      </w:pPr>
    </w:p>
    <w:p w14:paraId="77DFD5E9" w14:textId="77777777" w:rsidR="00652304" w:rsidRDefault="00652304" w:rsidP="00566FC2">
      <w:pPr>
        <w:rPr>
          <w:rFonts w:ascii="Arial" w:hAnsi="Arial" w:cs="Arial"/>
          <w:b/>
          <w:u w:val="single"/>
        </w:rPr>
      </w:pPr>
    </w:p>
    <w:p w14:paraId="611E3E48" w14:textId="77777777" w:rsidR="00652304" w:rsidRDefault="00652304" w:rsidP="00566FC2">
      <w:pPr>
        <w:rPr>
          <w:rFonts w:ascii="Arial" w:hAnsi="Arial" w:cs="Arial"/>
          <w:b/>
          <w:u w:val="single"/>
        </w:rPr>
      </w:pPr>
    </w:p>
    <w:p w14:paraId="60484D0F" w14:textId="77777777" w:rsidR="00652304" w:rsidRDefault="00652304" w:rsidP="00566FC2">
      <w:pPr>
        <w:rPr>
          <w:rFonts w:ascii="Arial" w:hAnsi="Arial" w:cs="Arial"/>
          <w:b/>
          <w:u w:val="single"/>
        </w:rPr>
      </w:pPr>
    </w:p>
    <w:p w14:paraId="50C130C9" w14:textId="77777777" w:rsidR="00D21F43" w:rsidRPr="00374AA4" w:rsidRDefault="00D21F43" w:rsidP="00566FC2">
      <w:pPr>
        <w:rPr>
          <w:rFonts w:ascii="Arial" w:hAnsi="Arial" w:cs="Arial"/>
          <w:b/>
          <w:u w:val="single"/>
        </w:rPr>
      </w:pPr>
      <w:r w:rsidRPr="00374AA4">
        <w:rPr>
          <w:rFonts w:ascii="Arial" w:hAnsi="Arial" w:cs="Arial"/>
          <w:b/>
          <w:u w:val="single"/>
        </w:rPr>
        <w:t>3.1 Key Performance Indicator 1: Measure of Relevant &amp; Appropriate Service</w:t>
      </w:r>
    </w:p>
    <w:p w14:paraId="1E795DEC" w14:textId="77777777" w:rsidR="00D21F43" w:rsidRPr="00374AA4" w:rsidRDefault="00D21F43" w:rsidP="00D21F43">
      <w:pPr>
        <w:jc w:val="both"/>
        <w:rPr>
          <w:rFonts w:ascii="Arial" w:hAnsi="Arial" w:cs="Arial"/>
          <w:b/>
        </w:rPr>
      </w:pPr>
    </w:p>
    <w:tbl>
      <w:tblPr>
        <w:tblStyle w:val="TableGrid"/>
        <w:tblW w:w="0" w:type="auto"/>
        <w:tblLook w:val="01E0" w:firstRow="1" w:lastRow="1" w:firstColumn="1" w:lastColumn="1" w:noHBand="0" w:noVBand="0"/>
      </w:tblPr>
      <w:tblGrid>
        <w:gridCol w:w="1585"/>
        <w:gridCol w:w="6711"/>
      </w:tblGrid>
      <w:tr w:rsidR="00D21F43" w:rsidRPr="00652304" w14:paraId="3C689A6F" w14:textId="77777777" w:rsidTr="00DD4114">
        <w:tc>
          <w:tcPr>
            <w:tcW w:w="8296" w:type="dxa"/>
            <w:gridSpan w:val="2"/>
            <w:shd w:val="clear" w:color="auto" w:fill="D9D9D9"/>
          </w:tcPr>
          <w:p w14:paraId="3114E47A" w14:textId="77777777" w:rsidR="00D21F43" w:rsidRPr="00652304" w:rsidRDefault="00D21F43" w:rsidP="00361CD8">
            <w:pPr>
              <w:jc w:val="both"/>
              <w:rPr>
                <w:rFonts w:ascii="Arial" w:hAnsi="Arial" w:cs="Arial"/>
                <w:sz w:val="22"/>
                <w:szCs w:val="22"/>
              </w:rPr>
            </w:pPr>
            <w:r w:rsidRPr="00652304">
              <w:rPr>
                <w:rFonts w:ascii="Arial" w:hAnsi="Arial" w:cs="Arial"/>
                <w:sz w:val="22"/>
                <w:szCs w:val="22"/>
                <w:u w:val="single"/>
              </w:rPr>
              <w:t>Performance Indicator 1:</w:t>
            </w:r>
            <w:r w:rsidRPr="00652304">
              <w:rPr>
                <w:rFonts w:ascii="Arial" w:hAnsi="Arial" w:cs="Arial"/>
                <w:sz w:val="22"/>
                <w:szCs w:val="22"/>
              </w:rPr>
              <w:t xml:space="preserve"> </w:t>
            </w:r>
          </w:p>
          <w:p w14:paraId="098DE993"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Increase the number of clients who engage with services between assessment and planned ending of treatment, by reducing the incidences of clients who do not attend (DNA) or respond to follow up contact post assessment date. </w:t>
            </w:r>
          </w:p>
          <w:p w14:paraId="24466A4C" w14:textId="77777777" w:rsidR="00D21F43" w:rsidRPr="00652304" w:rsidRDefault="00D21F43" w:rsidP="00361CD8">
            <w:pPr>
              <w:jc w:val="both"/>
              <w:rPr>
                <w:rFonts w:ascii="Arial" w:hAnsi="Arial" w:cs="Arial"/>
                <w:sz w:val="22"/>
                <w:szCs w:val="22"/>
              </w:rPr>
            </w:pPr>
          </w:p>
        </w:tc>
      </w:tr>
      <w:tr w:rsidR="00D21F43" w:rsidRPr="00652304" w14:paraId="2C510CAE" w14:textId="77777777" w:rsidTr="00DD4114">
        <w:tc>
          <w:tcPr>
            <w:tcW w:w="1585" w:type="dxa"/>
          </w:tcPr>
          <w:p w14:paraId="13F97057" w14:textId="77777777" w:rsidR="00D21F43" w:rsidRPr="00652304" w:rsidRDefault="00D21F43" w:rsidP="00361CD8">
            <w:pPr>
              <w:jc w:val="both"/>
              <w:rPr>
                <w:rFonts w:ascii="Arial" w:hAnsi="Arial" w:cs="Arial"/>
                <w:b/>
                <w:sz w:val="22"/>
                <w:szCs w:val="22"/>
              </w:rPr>
            </w:pPr>
            <w:r w:rsidRPr="00652304">
              <w:rPr>
                <w:rFonts w:ascii="Arial" w:hAnsi="Arial" w:cs="Arial"/>
                <w:b/>
                <w:sz w:val="22"/>
                <w:szCs w:val="22"/>
              </w:rPr>
              <w:t>Rationale</w:t>
            </w:r>
          </w:p>
        </w:tc>
        <w:tc>
          <w:tcPr>
            <w:tcW w:w="6711" w:type="dxa"/>
          </w:tcPr>
          <w:p w14:paraId="63576F2D"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Effective service delivery, in terms of appropriateness and relevance to service users is an important and relevant performance indicator. The extent to which services are relevant to the client’s needs (that is, take into account of the individuals’ background and circumstances, and the involvement of other agencies and service providers) is known to have an effect on the stability of the client’s relationship with the service. </w:t>
            </w:r>
          </w:p>
        </w:tc>
      </w:tr>
      <w:tr w:rsidR="00D21F43" w:rsidRPr="00652304" w14:paraId="70956103" w14:textId="77777777" w:rsidTr="00DD4114">
        <w:tc>
          <w:tcPr>
            <w:tcW w:w="1585" w:type="dxa"/>
          </w:tcPr>
          <w:p w14:paraId="3C60484D" w14:textId="77777777" w:rsidR="00D21F43" w:rsidRPr="00652304" w:rsidRDefault="00D21F43" w:rsidP="00361CD8">
            <w:pPr>
              <w:jc w:val="both"/>
              <w:rPr>
                <w:rFonts w:ascii="Arial" w:hAnsi="Arial" w:cs="Arial"/>
                <w:b/>
                <w:sz w:val="22"/>
                <w:szCs w:val="22"/>
              </w:rPr>
            </w:pPr>
            <w:r w:rsidRPr="00652304">
              <w:rPr>
                <w:rFonts w:ascii="Arial" w:hAnsi="Arial" w:cs="Arial"/>
                <w:b/>
                <w:sz w:val="22"/>
                <w:szCs w:val="22"/>
              </w:rPr>
              <w:t xml:space="preserve">Definitional Information. </w:t>
            </w:r>
          </w:p>
        </w:tc>
        <w:tc>
          <w:tcPr>
            <w:tcW w:w="6711" w:type="dxa"/>
          </w:tcPr>
          <w:p w14:paraId="54C28AB0"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This KPI will capture clients that DNA or do not respond to follow up contact post the assessment stage. This will be reported as either a DNA or respond to follow up contact between assessment and treatment or during treatment. </w:t>
            </w:r>
          </w:p>
          <w:p w14:paraId="464F5E2D" w14:textId="77777777" w:rsidR="00D21F43" w:rsidRPr="00652304" w:rsidRDefault="00D21F43" w:rsidP="00361CD8">
            <w:pPr>
              <w:jc w:val="both"/>
              <w:rPr>
                <w:rFonts w:ascii="Arial" w:hAnsi="Arial" w:cs="Arial"/>
                <w:sz w:val="22"/>
                <w:szCs w:val="22"/>
              </w:rPr>
            </w:pPr>
          </w:p>
          <w:p w14:paraId="6DDCAED3"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‘Did not attend or respond to follow up contact’ is defined as the treatment provider has lost contact with a client without a planned discharge and attempts to re-engage the clients have not been successful. </w:t>
            </w:r>
          </w:p>
          <w:p w14:paraId="462BC39F" w14:textId="77777777" w:rsidR="00D21F43" w:rsidRPr="00652304" w:rsidRDefault="00D21F43" w:rsidP="00361CD8">
            <w:pPr>
              <w:jc w:val="both"/>
              <w:rPr>
                <w:rFonts w:ascii="Arial" w:hAnsi="Arial" w:cs="Arial"/>
                <w:sz w:val="22"/>
                <w:szCs w:val="22"/>
              </w:rPr>
            </w:pPr>
          </w:p>
          <w:p w14:paraId="17FC850E"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In the event of Did Not Attend (DNA) cases: from an administrative perspective these should be closed on the Substance Misuse National Database 8 weeks from the failure to attend.</w:t>
            </w:r>
          </w:p>
          <w:p w14:paraId="4D8918D7" w14:textId="77777777" w:rsidR="00D21F43" w:rsidRPr="00652304" w:rsidRDefault="00D21F43" w:rsidP="00361CD8">
            <w:pPr>
              <w:jc w:val="both"/>
              <w:rPr>
                <w:rFonts w:ascii="Arial" w:hAnsi="Arial" w:cs="Arial"/>
                <w:sz w:val="22"/>
                <w:szCs w:val="22"/>
              </w:rPr>
            </w:pPr>
          </w:p>
          <w:p w14:paraId="1F8AD722"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‘Planned ending’ in this context accounts for all closures unless they are DNA/ disengaged from service.</w:t>
            </w:r>
          </w:p>
          <w:p w14:paraId="2C6C03D3" w14:textId="77777777" w:rsidR="00D21F43" w:rsidRPr="00652304" w:rsidRDefault="00D21F43" w:rsidP="00361CD8">
            <w:pPr>
              <w:jc w:val="both"/>
              <w:rPr>
                <w:rFonts w:ascii="Arial" w:hAnsi="Arial" w:cs="Arial"/>
                <w:sz w:val="22"/>
                <w:szCs w:val="22"/>
              </w:rPr>
            </w:pPr>
          </w:p>
          <w:p w14:paraId="46DB92A3"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All service level agreements should ensure that service providers regularly and routinely monitor, review and report on rates and reasons for ‘drop out’ / ‘did not attend’ at key stages, i.e. assessment, commencement of the care plan and during delivery of the care plan.</w:t>
            </w:r>
          </w:p>
        </w:tc>
      </w:tr>
      <w:tr w:rsidR="00D21F43" w:rsidRPr="00652304" w14:paraId="65765BEE" w14:textId="77777777" w:rsidTr="00DD4114">
        <w:tc>
          <w:tcPr>
            <w:tcW w:w="1585" w:type="dxa"/>
          </w:tcPr>
          <w:p w14:paraId="2DB79C36" w14:textId="77777777" w:rsidR="00D21F43" w:rsidRPr="00652304" w:rsidRDefault="00D21F43" w:rsidP="00361CD8">
            <w:pPr>
              <w:jc w:val="both"/>
              <w:rPr>
                <w:rFonts w:ascii="Arial" w:hAnsi="Arial" w:cs="Arial"/>
                <w:b/>
                <w:sz w:val="22"/>
                <w:szCs w:val="22"/>
              </w:rPr>
            </w:pPr>
            <w:r w:rsidRPr="00652304">
              <w:rPr>
                <w:rFonts w:ascii="Arial" w:hAnsi="Arial" w:cs="Arial"/>
                <w:b/>
                <w:sz w:val="22"/>
                <w:szCs w:val="22"/>
              </w:rPr>
              <w:t>Data source</w:t>
            </w:r>
          </w:p>
        </w:tc>
        <w:tc>
          <w:tcPr>
            <w:tcW w:w="6711" w:type="dxa"/>
          </w:tcPr>
          <w:p w14:paraId="77F0A1A6"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The Welsh National Database for Substance Misuse will provide the data showing those that ‘did not attend or respond to follow up contact’ (data item - reason contact ended) and total number of active cases. </w:t>
            </w:r>
          </w:p>
        </w:tc>
      </w:tr>
      <w:tr w:rsidR="00972C9D" w:rsidRPr="00652304" w14:paraId="323CE97D" w14:textId="77777777" w:rsidTr="00DD4114">
        <w:tc>
          <w:tcPr>
            <w:tcW w:w="1585" w:type="dxa"/>
          </w:tcPr>
          <w:p w14:paraId="08B1B8C5" w14:textId="77777777" w:rsidR="00972C9D" w:rsidRPr="00652304" w:rsidRDefault="00972C9D" w:rsidP="00361CD8">
            <w:pPr>
              <w:jc w:val="both"/>
              <w:rPr>
                <w:rFonts w:ascii="Arial" w:hAnsi="Arial" w:cs="Arial"/>
                <w:b/>
                <w:sz w:val="22"/>
                <w:szCs w:val="22"/>
              </w:rPr>
            </w:pPr>
            <w:r w:rsidRPr="00652304">
              <w:rPr>
                <w:rFonts w:ascii="Arial" w:hAnsi="Arial" w:cs="Arial"/>
                <w:b/>
                <w:sz w:val="22"/>
                <w:szCs w:val="22"/>
              </w:rPr>
              <w:t>Methodology</w:t>
            </w:r>
          </w:p>
        </w:tc>
        <w:tc>
          <w:tcPr>
            <w:tcW w:w="6711" w:type="dxa"/>
          </w:tcPr>
          <w:p w14:paraId="250A01FC" w14:textId="136E4902" w:rsidR="00972C9D" w:rsidRPr="00652304" w:rsidRDefault="00356175" w:rsidP="00356175">
            <w:pPr>
              <w:jc w:val="both"/>
              <w:rPr>
                <w:rFonts w:ascii="Arial" w:hAnsi="Arial" w:cs="Arial"/>
                <w:sz w:val="22"/>
                <w:szCs w:val="22"/>
              </w:rPr>
            </w:pPr>
            <w:r w:rsidRPr="00652304">
              <w:rPr>
                <w:rFonts w:ascii="Arial" w:hAnsi="Arial" w:cs="Arial"/>
                <w:sz w:val="22"/>
                <w:szCs w:val="22"/>
              </w:rPr>
              <w:t xml:space="preserve">Numerator = Number of clients where reason contact </w:t>
            </w:r>
            <w:r w:rsidR="00493B49">
              <w:rPr>
                <w:rFonts w:ascii="Arial" w:hAnsi="Arial" w:cs="Arial"/>
                <w:sz w:val="22"/>
                <w:szCs w:val="22"/>
              </w:rPr>
              <w:t xml:space="preserve">ended is code 05 (DNA) and </w:t>
            </w:r>
            <w:r w:rsidRPr="00652304">
              <w:rPr>
                <w:rFonts w:ascii="Arial" w:hAnsi="Arial" w:cs="Arial"/>
                <w:sz w:val="22"/>
                <w:szCs w:val="22"/>
              </w:rPr>
              <w:t>assessment</w:t>
            </w:r>
            <w:r w:rsidR="00493B49">
              <w:rPr>
                <w:rFonts w:ascii="Arial" w:hAnsi="Arial" w:cs="Arial"/>
                <w:sz w:val="22"/>
                <w:szCs w:val="22"/>
              </w:rPr>
              <w:t xml:space="preserve"> date</w:t>
            </w:r>
            <w:r w:rsidRPr="00652304">
              <w:rPr>
                <w:rFonts w:ascii="Arial" w:hAnsi="Arial" w:cs="Arial"/>
                <w:sz w:val="22"/>
                <w:szCs w:val="22"/>
              </w:rPr>
              <w:t xml:space="preserve"> is completed.</w:t>
            </w:r>
          </w:p>
          <w:p w14:paraId="0BFADEAA" w14:textId="77777777" w:rsidR="00356175" w:rsidRPr="00652304" w:rsidRDefault="00356175" w:rsidP="004F48EE">
            <w:pPr>
              <w:jc w:val="both"/>
              <w:rPr>
                <w:rFonts w:ascii="Arial" w:hAnsi="Arial" w:cs="Arial"/>
                <w:sz w:val="22"/>
                <w:szCs w:val="22"/>
              </w:rPr>
            </w:pPr>
            <w:r w:rsidRPr="00652304">
              <w:rPr>
                <w:rFonts w:ascii="Arial" w:hAnsi="Arial" w:cs="Arial"/>
                <w:sz w:val="22"/>
                <w:szCs w:val="22"/>
              </w:rPr>
              <w:t>Denominator = All discharged clients with an assessment date.</w:t>
            </w:r>
          </w:p>
        </w:tc>
      </w:tr>
      <w:tr w:rsidR="00D21F43" w:rsidRPr="00652304" w14:paraId="58A3570D" w14:textId="77777777" w:rsidTr="00DD4114">
        <w:tc>
          <w:tcPr>
            <w:tcW w:w="1585" w:type="dxa"/>
          </w:tcPr>
          <w:p w14:paraId="65D6300F" w14:textId="77777777" w:rsidR="00D21F43" w:rsidRPr="00652304" w:rsidRDefault="00D21F43" w:rsidP="00361CD8">
            <w:pPr>
              <w:jc w:val="both"/>
              <w:rPr>
                <w:rFonts w:ascii="Arial" w:hAnsi="Arial" w:cs="Arial"/>
                <w:b/>
                <w:sz w:val="22"/>
                <w:szCs w:val="22"/>
              </w:rPr>
            </w:pPr>
            <w:r w:rsidRPr="00652304">
              <w:rPr>
                <w:rFonts w:ascii="Arial" w:hAnsi="Arial" w:cs="Arial"/>
                <w:b/>
                <w:sz w:val="22"/>
                <w:szCs w:val="22"/>
              </w:rPr>
              <w:t xml:space="preserve">Additional Information </w:t>
            </w:r>
          </w:p>
          <w:p w14:paraId="64FE8C82" w14:textId="77777777" w:rsidR="00D21F43" w:rsidRPr="00652304" w:rsidRDefault="00D21F43" w:rsidP="00361CD8">
            <w:pPr>
              <w:jc w:val="both"/>
              <w:rPr>
                <w:rFonts w:ascii="Arial" w:hAnsi="Arial" w:cs="Arial"/>
                <w:b/>
                <w:sz w:val="22"/>
                <w:szCs w:val="22"/>
              </w:rPr>
            </w:pPr>
          </w:p>
        </w:tc>
        <w:tc>
          <w:tcPr>
            <w:tcW w:w="6711" w:type="dxa"/>
          </w:tcPr>
          <w:p w14:paraId="146147FF"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It will be expected that each APB reports on both the number and percentage who do not attend (DNA) when reporting against this KPI.</w:t>
            </w:r>
          </w:p>
          <w:p w14:paraId="7313C345" w14:textId="77777777" w:rsidR="00D21F43" w:rsidRPr="00652304" w:rsidRDefault="00D21F43" w:rsidP="00361CD8">
            <w:pPr>
              <w:jc w:val="both"/>
              <w:rPr>
                <w:rFonts w:ascii="Arial" w:hAnsi="Arial" w:cs="Arial"/>
                <w:sz w:val="22"/>
                <w:szCs w:val="22"/>
              </w:rPr>
            </w:pPr>
          </w:p>
          <w:p w14:paraId="583732C3" w14:textId="77777777" w:rsidR="00D21F43" w:rsidRPr="00652304" w:rsidRDefault="00D21F43" w:rsidP="00361CD8">
            <w:pPr>
              <w:jc w:val="both"/>
              <w:rPr>
                <w:rFonts w:ascii="Arial" w:hAnsi="Arial" w:cs="Arial"/>
                <w:i/>
                <w:sz w:val="22"/>
                <w:szCs w:val="22"/>
              </w:rPr>
            </w:pPr>
            <w:r w:rsidRPr="00652304">
              <w:rPr>
                <w:rFonts w:ascii="Arial" w:hAnsi="Arial" w:cs="Arial"/>
                <w:i/>
                <w:sz w:val="22"/>
                <w:szCs w:val="22"/>
              </w:rPr>
              <w:lastRenderedPageBreak/>
              <w:t>Drop out rates between referral and assessment will be monitored for management information purposes. Commissioners and providers will be expected to respond to any trends which become visible i.e. an increase in inappropriate referrals.</w:t>
            </w:r>
          </w:p>
        </w:tc>
      </w:tr>
      <w:tr w:rsidR="00356175" w:rsidRPr="00652304" w14:paraId="4D1DA25F" w14:textId="77777777" w:rsidTr="00DD4114">
        <w:tc>
          <w:tcPr>
            <w:tcW w:w="1585" w:type="dxa"/>
          </w:tcPr>
          <w:p w14:paraId="0D4F835D" w14:textId="77777777" w:rsidR="00356175" w:rsidRPr="00652304" w:rsidRDefault="00356175" w:rsidP="00361CD8">
            <w:pPr>
              <w:jc w:val="both"/>
              <w:rPr>
                <w:rFonts w:ascii="Arial" w:hAnsi="Arial" w:cs="Arial"/>
                <w:b/>
                <w:sz w:val="22"/>
                <w:szCs w:val="22"/>
              </w:rPr>
            </w:pPr>
            <w:r w:rsidRPr="00652304">
              <w:rPr>
                <w:rFonts w:ascii="Arial" w:hAnsi="Arial" w:cs="Arial"/>
                <w:b/>
                <w:sz w:val="22"/>
                <w:szCs w:val="22"/>
              </w:rPr>
              <w:lastRenderedPageBreak/>
              <w:t>Proposed Future Changes</w:t>
            </w:r>
          </w:p>
        </w:tc>
        <w:tc>
          <w:tcPr>
            <w:tcW w:w="6711" w:type="dxa"/>
          </w:tcPr>
          <w:p w14:paraId="3E6F4101" w14:textId="77777777" w:rsidR="00356175" w:rsidRPr="00652304" w:rsidRDefault="00356175" w:rsidP="00356175">
            <w:pPr>
              <w:jc w:val="both"/>
              <w:rPr>
                <w:rFonts w:ascii="Arial" w:hAnsi="Arial" w:cs="Arial"/>
                <w:sz w:val="22"/>
                <w:szCs w:val="22"/>
              </w:rPr>
            </w:pPr>
            <w:r w:rsidRPr="00652304">
              <w:rPr>
                <w:rFonts w:ascii="Arial" w:hAnsi="Arial" w:cs="Arial"/>
                <w:sz w:val="22"/>
                <w:szCs w:val="22"/>
              </w:rPr>
              <w:t>Amend the modality exit status (currently 01 planned and 02 unplanned) to record the individual treatment/modality exit reason and base the KPI on the expanded modality exit status.</w:t>
            </w:r>
          </w:p>
        </w:tc>
      </w:tr>
    </w:tbl>
    <w:p w14:paraId="04EAFCA5" w14:textId="77777777" w:rsidR="00D21F43" w:rsidRPr="00374AA4" w:rsidRDefault="00D21F43" w:rsidP="00D21F43">
      <w:pPr>
        <w:jc w:val="both"/>
        <w:rPr>
          <w:rFonts w:ascii="Arial" w:hAnsi="Arial" w:cs="Arial"/>
          <w:color w:val="FF0000"/>
        </w:rPr>
      </w:pPr>
    </w:p>
    <w:p w14:paraId="45EAE928" w14:textId="77777777" w:rsidR="00D21F43" w:rsidRPr="00C439CE" w:rsidRDefault="00D21F43" w:rsidP="00D21F43">
      <w:pPr>
        <w:jc w:val="both"/>
        <w:rPr>
          <w:rFonts w:ascii="Arial" w:hAnsi="Arial" w:cs="Arial"/>
          <w:b/>
          <w:u w:val="single"/>
        </w:rPr>
      </w:pPr>
      <w:r w:rsidRPr="00544F30">
        <w:rPr>
          <w:rFonts w:ascii="Arial" w:hAnsi="Arial" w:cs="Arial"/>
          <w:color w:val="FF0000"/>
          <w:sz w:val="22"/>
          <w:szCs w:val="22"/>
        </w:rPr>
        <w:br w:type="page"/>
      </w:r>
      <w:r w:rsidRPr="00C439CE">
        <w:rPr>
          <w:rFonts w:ascii="Arial" w:hAnsi="Arial" w:cs="Arial"/>
          <w:b/>
          <w:u w:val="single"/>
        </w:rPr>
        <w:lastRenderedPageBreak/>
        <w:t xml:space="preserve">3.2 Key Performance Indicator 2: Measure of Waiting Times for Services </w:t>
      </w:r>
    </w:p>
    <w:p w14:paraId="5FFF8B9B" w14:textId="77777777" w:rsidR="00D21F43" w:rsidRPr="00C439CE" w:rsidRDefault="00D21F43" w:rsidP="00D21F43">
      <w:pPr>
        <w:jc w:val="both"/>
        <w:rPr>
          <w:rFonts w:ascii="Arial" w:hAnsi="Arial" w:cs="Arial"/>
          <w:b/>
          <w:color w:val="FF0000"/>
          <w:u w:val="single"/>
        </w:rPr>
      </w:pPr>
    </w:p>
    <w:tbl>
      <w:tblPr>
        <w:tblStyle w:val="TableGrid"/>
        <w:tblW w:w="0" w:type="auto"/>
        <w:tblLook w:val="01E0" w:firstRow="1" w:lastRow="1" w:firstColumn="1" w:lastColumn="1" w:noHBand="0" w:noVBand="0"/>
      </w:tblPr>
      <w:tblGrid>
        <w:gridCol w:w="1711"/>
        <w:gridCol w:w="6585"/>
      </w:tblGrid>
      <w:tr w:rsidR="00D21F43" w:rsidRPr="00652304" w14:paraId="7A1ABA5D" w14:textId="77777777" w:rsidTr="00972C9D">
        <w:tc>
          <w:tcPr>
            <w:tcW w:w="8296" w:type="dxa"/>
            <w:gridSpan w:val="2"/>
            <w:shd w:val="clear" w:color="auto" w:fill="D9D9D9"/>
          </w:tcPr>
          <w:p w14:paraId="699B9E9C" w14:textId="77777777" w:rsidR="00D21F43" w:rsidRPr="00652304" w:rsidRDefault="00D21F43" w:rsidP="00361CD8">
            <w:pPr>
              <w:jc w:val="both"/>
              <w:rPr>
                <w:rFonts w:ascii="Arial" w:hAnsi="Arial" w:cs="Arial"/>
                <w:sz w:val="22"/>
                <w:szCs w:val="22"/>
              </w:rPr>
            </w:pPr>
            <w:r w:rsidRPr="00652304">
              <w:rPr>
                <w:rFonts w:ascii="Arial" w:hAnsi="Arial" w:cs="Arial"/>
                <w:sz w:val="22"/>
                <w:szCs w:val="22"/>
                <w:u w:val="single"/>
              </w:rPr>
              <w:t>Performance Indicator 2:</w:t>
            </w:r>
            <w:r w:rsidRPr="00652304">
              <w:rPr>
                <w:rFonts w:ascii="Arial" w:hAnsi="Arial" w:cs="Arial"/>
                <w:sz w:val="22"/>
                <w:szCs w:val="22"/>
              </w:rPr>
              <w:t xml:space="preserve"> </w:t>
            </w:r>
          </w:p>
          <w:p w14:paraId="1220B6B1"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Achieve a waiting time of less than 20 working days between referral and treatment. </w:t>
            </w:r>
          </w:p>
          <w:p w14:paraId="0C0D6CFC" w14:textId="77777777" w:rsidR="00D21F43" w:rsidRPr="00652304" w:rsidRDefault="00D21F43" w:rsidP="00361CD8">
            <w:pPr>
              <w:jc w:val="both"/>
              <w:rPr>
                <w:rFonts w:ascii="Arial" w:hAnsi="Arial" w:cs="Arial"/>
                <w:sz w:val="22"/>
                <w:szCs w:val="22"/>
              </w:rPr>
            </w:pPr>
          </w:p>
        </w:tc>
      </w:tr>
      <w:tr w:rsidR="00D21F43" w:rsidRPr="00652304" w14:paraId="5D0C2048" w14:textId="77777777" w:rsidTr="00972C9D">
        <w:tc>
          <w:tcPr>
            <w:tcW w:w="1711" w:type="dxa"/>
          </w:tcPr>
          <w:p w14:paraId="6E6C722D"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Rationale</w:t>
            </w:r>
          </w:p>
        </w:tc>
        <w:tc>
          <w:tcPr>
            <w:tcW w:w="6585" w:type="dxa"/>
          </w:tcPr>
          <w:p w14:paraId="516513DE"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Prompt and meaningful contact with clients is more likely to result in effective on-going contact and treatment. </w:t>
            </w:r>
          </w:p>
          <w:p w14:paraId="2DB81EAA" w14:textId="77777777" w:rsidR="00D21F43" w:rsidRPr="00652304" w:rsidRDefault="00D21F43" w:rsidP="00361CD8">
            <w:pPr>
              <w:jc w:val="both"/>
              <w:rPr>
                <w:rFonts w:ascii="Arial" w:hAnsi="Arial" w:cs="Arial"/>
                <w:sz w:val="22"/>
                <w:szCs w:val="22"/>
              </w:rPr>
            </w:pPr>
          </w:p>
          <w:p w14:paraId="0B7D32A2"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Waiting time for service is an important and relevant measure of performance. Delays are of concern to service users and are known to compromise treatment.  </w:t>
            </w:r>
          </w:p>
        </w:tc>
      </w:tr>
      <w:tr w:rsidR="00D21F43" w:rsidRPr="00652304" w14:paraId="48F91FE1" w14:textId="77777777" w:rsidTr="00972C9D">
        <w:tc>
          <w:tcPr>
            <w:tcW w:w="1711" w:type="dxa"/>
          </w:tcPr>
          <w:p w14:paraId="353F432C"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Definitional Information. </w:t>
            </w:r>
          </w:p>
        </w:tc>
        <w:tc>
          <w:tcPr>
            <w:tcW w:w="6585" w:type="dxa"/>
          </w:tcPr>
          <w:p w14:paraId="5700C0BB"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The indicator should be reflected in Service Level Agreements or contracts with service providers and monitored by commissioners. </w:t>
            </w:r>
          </w:p>
          <w:p w14:paraId="52EEA64A" w14:textId="77777777" w:rsidR="00D21F43" w:rsidRPr="00652304" w:rsidRDefault="00D21F43" w:rsidP="00361CD8">
            <w:pPr>
              <w:jc w:val="both"/>
              <w:rPr>
                <w:rFonts w:ascii="Arial" w:hAnsi="Arial" w:cs="Arial"/>
                <w:sz w:val="22"/>
                <w:szCs w:val="22"/>
              </w:rPr>
            </w:pPr>
          </w:p>
          <w:p w14:paraId="286E555A" w14:textId="77777777" w:rsidR="00D21F43" w:rsidRPr="00652304" w:rsidRDefault="00D21F43" w:rsidP="00361CD8">
            <w:pPr>
              <w:jc w:val="both"/>
              <w:rPr>
                <w:rFonts w:ascii="Arial" w:hAnsi="Arial" w:cs="Arial"/>
                <w:sz w:val="22"/>
                <w:szCs w:val="22"/>
                <w:lang w:val="en-US"/>
              </w:rPr>
            </w:pPr>
            <w:r w:rsidRPr="00652304">
              <w:rPr>
                <w:rFonts w:ascii="Arial" w:hAnsi="Arial" w:cs="Arial"/>
                <w:sz w:val="22"/>
                <w:szCs w:val="22"/>
              </w:rPr>
              <w:t xml:space="preserve">Referral – means </w:t>
            </w:r>
            <w:r w:rsidRPr="00652304">
              <w:rPr>
                <w:rFonts w:ascii="Arial" w:hAnsi="Arial" w:cs="Arial"/>
                <w:sz w:val="22"/>
                <w:szCs w:val="22"/>
                <w:lang w:val="en-US"/>
              </w:rPr>
              <w:t>the date in which the referral letter, e-mail, fax or phone call was received/taken.</w:t>
            </w:r>
          </w:p>
          <w:p w14:paraId="2BCD29D3"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(Referral = day 0, a count of up to 19 days would be deemed as within target).</w:t>
            </w:r>
          </w:p>
          <w:p w14:paraId="78CA4C1B" w14:textId="77777777" w:rsidR="00D21F43" w:rsidRPr="00652304" w:rsidRDefault="00D21F43" w:rsidP="00361CD8">
            <w:pPr>
              <w:jc w:val="both"/>
              <w:rPr>
                <w:rFonts w:ascii="Arial" w:hAnsi="Arial" w:cs="Arial"/>
                <w:sz w:val="22"/>
                <w:szCs w:val="22"/>
              </w:rPr>
            </w:pPr>
          </w:p>
          <w:p w14:paraId="03D69A74"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Day means working day, this excludes weekends and bank holidays. </w:t>
            </w:r>
          </w:p>
          <w:p w14:paraId="5AF00451" w14:textId="77777777" w:rsidR="00D21F43" w:rsidRPr="00652304" w:rsidRDefault="00D21F43" w:rsidP="00361CD8">
            <w:pPr>
              <w:keepNext/>
              <w:keepLines/>
              <w:rPr>
                <w:rFonts w:ascii="Arial" w:hAnsi="Arial" w:cs="Arial"/>
                <w:b/>
                <w:sz w:val="22"/>
                <w:szCs w:val="22"/>
              </w:rPr>
            </w:pPr>
          </w:p>
          <w:p w14:paraId="44E28FC3" w14:textId="0BACAD05" w:rsidR="00D21F43" w:rsidRPr="00652304" w:rsidRDefault="00D21F43" w:rsidP="00361CD8">
            <w:pPr>
              <w:keepNext/>
              <w:keepLines/>
              <w:jc w:val="both"/>
              <w:rPr>
                <w:rFonts w:ascii="Arial" w:hAnsi="Arial" w:cs="Arial"/>
                <w:sz w:val="22"/>
                <w:szCs w:val="22"/>
              </w:rPr>
            </w:pPr>
            <w:r w:rsidRPr="00652304">
              <w:rPr>
                <w:rFonts w:ascii="Arial" w:hAnsi="Arial" w:cs="Arial"/>
                <w:sz w:val="22"/>
                <w:szCs w:val="22"/>
              </w:rPr>
              <w:t xml:space="preserve">Treatment began (modality start date) is defined as: </w:t>
            </w:r>
            <w:r w:rsidRPr="00652304">
              <w:rPr>
                <w:rFonts w:ascii="Arial" w:eastAsiaTheme="minorHAnsi" w:hAnsi="Arial" w:cs="Arial"/>
                <w:sz w:val="22"/>
                <w:szCs w:val="22"/>
                <w:lang w:eastAsia="en-US"/>
              </w:rPr>
              <w:t>‘</w:t>
            </w:r>
            <w:r w:rsidRPr="00652304">
              <w:rPr>
                <w:rFonts w:ascii="Arial" w:hAnsi="Arial" w:cs="Arial"/>
                <w:sz w:val="22"/>
                <w:szCs w:val="22"/>
              </w:rPr>
              <w:t>The date when the treatment modality commenced – i.e. the client attended the appointment’</w:t>
            </w:r>
          </w:p>
          <w:p w14:paraId="42B1FABD" w14:textId="77777777" w:rsidR="00D21F43" w:rsidRPr="00652304" w:rsidRDefault="00D21F43" w:rsidP="00361CD8">
            <w:pPr>
              <w:jc w:val="both"/>
              <w:rPr>
                <w:rFonts w:ascii="Arial" w:hAnsi="Arial" w:cs="Arial"/>
                <w:sz w:val="22"/>
                <w:szCs w:val="22"/>
              </w:rPr>
            </w:pPr>
          </w:p>
          <w:p w14:paraId="40ED08C4" w14:textId="77777777" w:rsidR="00D21F43" w:rsidRPr="00652304" w:rsidRDefault="00D21F43" w:rsidP="00361CD8">
            <w:pPr>
              <w:jc w:val="both"/>
              <w:rPr>
                <w:rFonts w:ascii="Arial" w:hAnsi="Arial" w:cs="Arial"/>
                <w:i/>
                <w:sz w:val="22"/>
                <w:szCs w:val="22"/>
              </w:rPr>
            </w:pPr>
            <w:r w:rsidRPr="00652304">
              <w:rPr>
                <w:rFonts w:ascii="Arial" w:hAnsi="Arial" w:cs="Arial"/>
                <w:i/>
                <w:sz w:val="22"/>
                <w:szCs w:val="22"/>
              </w:rPr>
              <w:t xml:space="preserve">Referral to assessment and assessment to treatment will be expected to be collected as part of management information so it is clear if there are waits within the treatment system that these are identified. </w:t>
            </w:r>
          </w:p>
          <w:p w14:paraId="60761474" w14:textId="77777777" w:rsidR="00D21F43" w:rsidRPr="00652304" w:rsidRDefault="00D21F43" w:rsidP="00361CD8">
            <w:pPr>
              <w:jc w:val="both"/>
              <w:rPr>
                <w:rFonts w:ascii="Arial" w:hAnsi="Arial" w:cs="Arial"/>
                <w:sz w:val="22"/>
                <w:szCs w:val="22"/>
              </w:rPr>
            </w:pPr>
          </w:p>
          <w:p w14:paraId="2CFB8A65"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In this context the assessment date is defined as the date that the initial assessment was completed. It is recognised that the full scope and depth of the assessment will vary according to the presenting needs of a client, but should include an initial assessment of the client’s physical health and mental health needs.</w:t>
            </w:r>
          </w:p>
        </w:tc>
      </w:tr>
      <w:tr w:rsidR="00D21F43" w:rsidRPr="00652304" w14:paraId="285AB7E8" w14:textId="77777777" w:rsidTr="00972C9D">
        <w:tc>
          <w:tcPr>
            <w:tcW w:w="1711" w:type="dxa"/>
          </w:tcPr>
          <w:p w14:paraId="1848D6C1"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Data source</w:t>
            </w:r>
          </w:p>
        </w:tc>
        <w:tc>
          <w:tcPr>
            <w:tcW w:w="6585" w:type="dxa"/>
          </w:tcPr>
          <w:p w14:paraId="3D635FB0"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The Welsh National Database for Substance Misuse will provide the data using date of referral, and earliest modality start date. The definitions are contained within the guidance for the Welsh National Database for Substance Misuse. </w:t>
            </w:r>
          </w:p>
        </w:tc>
      </w:tr>
      <w:tr w:rsidR="00D21F43" w:rsidRPr="00652304" w14:paraId="1913064F" w14:textId="77777777" w:rsidTr="00972C9D">
        <w:tc>
          <w:tcPr>
            <w:tcW w:w="1711" w:type="dxa"/>
          </w:tcPr>
          <w:p w14:paraId="3B4E185F" w14:textId="77777777" w:rsidR="00D21F43" w:rsidRPr="00652304" w:rsidRDefault="00972C9D" w:rsidP="00361CD8">
            <w:pPr>
              <w:jc w:val="both"/>
              <w:rPr>
                <w:rFonts w:ascii="Arial" w:hAnsi="Arial" w:cs="Arial"/>
                <w:sz w:val="22"/>
                <w:szCs w:val="22"/>
              </w:rPr>
            </w:pPr>
            <w:r w:rsidRPr="00652304">
              <w:rPr>
                <w:rFonts w:ascii="Arial" w:hAnsi="Arial" w:cs="Arial"/>
                <w:sz w:val="22"/>
                <w:szCs w:val="22"/>
              </w:rPr>
              <w:t>Methodology</w:t>
            </w:r>
          </w:p>
        </w:tc>
        <w:tc>
          <w:tcPr>
            <w:tcW w:w="6585" w:type="dxa"/>
          </w:tcPr>
          <w:p w14:paraId="3E09CD3A" w14:textId="547547E9" w:rsidR="00D21F43" w:rsidRPr="00652304" w:rsidRDefault="00356175" w:rsidP="00361CD8">
            <w:pPr>
              <w:jc w:val="both"/>
              <w:rPr>
                <w:rFonts w:ascii="Arial" w:hAnsi="Arial" w:cs="Arial"/>
                <w:sz w:val="22"/>
                <w:szCs w:val="22"/>
              </w:rPr>
            </w:pPr>
            <w:r w:rsidRPr="00652304">
              <w:rPr>
                <w:rFonts w:ascii="Arial" w:hAnsi="Arial" w:cs="Arial"/>
                <w:sz w:val="22"/>
                <w:szCs w:val="22"/>
              </w:rPr>
              <w:t>Time in days from referral date to earliest</w:t>
            </w:r>
            <w:r w:rsidR="00DD4114">
              <w:rPr>
                <w:rFonts w:ascii="Arial" w:hAnsi="Arial" w:cs="Arial"/>
                <w:sz w:val="22"/>
                <w:szCs w:val="22"/>
              </w:rPr>
              <w:t>/first</w:t>
            </w:r>
            <w:r w:rsidRPr="00652304">
              <w:rPr>
                <w:rFonts w:ascii="Arial" w:hAnsi="Arial" w:cs="Arial"/>
                <w:sz w:val="22"/>
                <w:szCs w:val="22"/>
              </w:rPr>
              <w:t xml:space="preserve"> modality start date.</w:t>
            </w:r>
          </w:p>
        </w:tc>
      </w:tr>
      <w:tr w:rsidR="00972C9D" w:rsidRPr="00652304" w14:paraId="3D2F5DA4" w14:textId="77777777" w:rsidTr="00972C9D">
        <w:tc>
          <w:tcPr>
            <w:tcW w:w="1711" w:type="dxa"/>
          </w:tcPr>
          <w:p w14:paraId="09E5CF2E" w14:textId="77777777" w:rsidR="00972C9D" w:rsidRPr="00652304" w:rsidRDefault="00972C9D" w:rsidP="00972C9D">
            <w:pPr>
              <w:jc w:val="both"/>
              <w:rPr>
                <w:rFonts w:ascii="Arial" w:hAnsi="Arial" w:cs="Arial"/>
                <w:sz w:val="22"/>
                <w:szCs w:val="22"/>
              </w:rPr>
            </w:pPr>
            <w:r w:rsidRPr="00652304">
              <w:rPr>
                <w:rFonts w:ascii="Arial" w:hAnsi="Arial" w:cs="Arial"/>
                <w:sz w:val="22"/>
                <w:szCs w:val="22"/>
              </w:rPr>
              <w:t>Additional information</w:t>
            </w:r>
          </w:p>
        </w:tc>
        <w:tc>
          <w:tcPr>
            <w:tcW w:w="6585" w:type="dxa"/>
          </w:tcPr>
          <w:p w14:paraId="5049E051" w14:textId="77777777" w:rsidR="00972C9D" w:rsidRPr="00652304" w:rsidRDefault="00972C9D" w:rsidP="00356175">
            <w:pPr>
              <w:jc w:val="both"/>
              <w:rPr>
                <w:rFonts w:ascii="Arial" w:hAnsi="Arial" w:cs="Arial"/>
                <w:sz w:val="22"/>
                <w:szCs w:val="22"/>
              </w:rPr>
            </w:pPr>
            <w:r w:rsidRPr="00652304">
              <w:rPr>
                <w:rFonts w:ascii="Arial" w:hAnsi="Arial" w:cs="Arial"/>
                <w:sz w:val="22"/>
                <w:szCs w:val="22"/>
              </w:rPr>
              <w:t xml:space="preserve">On a quarterly basis, a report showing the waiting times between </w:t>
            </w:r>
            <w:r w:rsidR="00356175" w:rsidRPr="00652304">
              <w:rPr>
                <w:rFonts w:ascii="Arial" w:hAnsi="Arial" w:cs="Arial"/>
                <w:sz w:val="22"/>
                <w:szCs w:val="22"/>
              </w:rPr>
              <w:t xml:space="preserve">modality </w:t>
            </w:r>
            <w:r w:rsidRPr="00652304">
              <w:rPr>
                <w:rFonts w:ascii="Arial" w:hAnsi="Arial" w:cs="Arial"/>
                <w:sz w:val="22"/>
                <w:szCs w:val="22"/>
              </w:rPr>
              <w:t>referral</w:t>
            </w:r>
            <w:r w:rsidR="00356175" w:rsidRPr="00652304">
              <w:rPr>
                <w:rFonts w:ascii="Arial" w:hAnsi="Arial" w:cs="Arial"/>
                <w:sz w:val="22"/>
                <w:szCs w:val="22"/>
              </w:rPr>
              <w:t xml:space="preserve"> date</w:t>
            </w:r>
            <w:r w:rsidRPr="00652304">
              <w:rPr>
                <w:rFonts w:ascii="Arial" w:hAnsi="Arial" w:cs="Arial"/>
                <w:sz w:val="22"/>
                <w:szCs w:val="22"/>
              </w:rPr>
              <w:t xml:space="preserve"> and modality start</w:t>
            </w:r>
            <w:r w:rsidR="00356175" w:rsidRPr="00652304">
              <w:rPr>
                <w:rFonts w:ascii="Arial" w:hAnsi="Arial" w:cs="Arial"/>
                <w:sz w:val="22"/>
                <w:szCs w:val="22"/>
              </w:rPr>
              <w:t xml:space="preserve"> date (or first appointment offered date)</w:t>
            </w:r>
            <w:r w:rsidRPr="00652304">
              <w:rPr>
                <w:rFonts w:ascii="Arial" w:hAnsi="Arial" w:cs="Arial"/>
                <w:sz w:val="22"/>
                <w:szCs w:val="22"/>
              </w:rPr>
              <w:t xml:space="preserve"> </w:t>
            </w:r>
            <w:r w:rsidR="00356175" w:rsidRPr="00652304">
              <w:rPr>
                <w:rFonts w:ascii="Arial" w:hAnsi="Arial" w:cs="Arial"/>
                <w:sz w:val="22"/>
                <w:szCs w:val="22"/>
              </w:rPr>
              <w:t>for each</w:t>
            </w:r>
            <w:r w:rsidRPr="00652304">
              <w:rPr>
                <w:rFonts w:ascii="Arial" w:hAnsi="Arial" w:cs="Arial"/>
                <w:sz w:val="22"/>
                <w:szCs w:val="22"/>
              </w:rPr>
              <w:t xml:space="preserve"> individual modality will be made available to APBs.</w:t>
            </w:r>
          </w:p>
        </w:tc>
      </w:tr>
    </w:tbl>
    <w:p w14:paraId="5D282ABA" w14:textId="77777777" w:rsidR="00D21F43" w:rsidRPr="00544F30" w:rsidRDefault="00D21F43" w:rsidP="00D21F43">
      <w:pPr>
        <w:jc w:val="both"/>
        <w:rPr>
          <w:rFonts w:ascii="Arial" w:hAnsi="Arial" w:cs="Arial"/>
          <w:b/>
          <w:color w:val="FF0000"/>
          <w:sz w:val="22"/>
          <w:szCs w:val="22"/>
          <w:u w:val="single"/>
        </w:rPr>
      </w:pPr>
    </w:p>
    <w:p w14:paraId="68FC0CB7" w14:textId="77777777" w:rsidR="00972C9D" w:rsidRDefault="00972C9D" w:rsidP="00D21F43">
      <w:pPr>
        <w:jc w:val="both"/>
        <w:rPr>
          <w:rFonts w:ascii="Arial" w:hAnsi="Arial" w:cs="Arial"/>
          <w:b/>
          <w:u w:val="single"/>
        </w:rPr>
      </w:pPr>
    </w:p>
    <w:p w14:paraId="2880BEF2" w14:textId="77777777" w:rsidR="00972C9D" w:rsidRDefault="00972C9D" w:rsidP="00D21F43">
      <w:pPr>
        <w:jc w:val="both"/>
        <w:rPr>
          <w:rFonts w:ascii="Arial" w:hAnsi="Arial" w:cs="Arial"/>
          <w:b/>
          <w:u w:val="single"/>
        </w:rPr>
      </w:pPr>
    </w:p>
    <w:p w14:paraId="6E2A040E" w14:textId="77777777" w:rsidR="00972C9D" w:rsidRDefault="00972C9D" w:rsidP="00D21F43">
      <w:pPr>
        <w:jc w:val="both"/>
        <w:rPr>
          <w:rFonts w:ascii="Arial" w:hAnsi="Arial" w:cs="Arial"/>
          <w:b/>
          <w:u w:val="single"/>
        </w:rPr>
      </w:pPr>
    </w:p>
    <w:p w14:paraId="5CEA8B7D" w14:textId="77777777" w:rsidR="00972C9D" w:rsidRDefault="00972C9D" w:rsidP="00D21F43">
      <w:pPr>
        <w:jc w:val="both"/>
        <w:rPr>
          <w:rFonts w:ascii="Arial" w:hAnsi="Arial" w:cs="Arial"/>
          <w:b/>
          <w:u w:val="single"/>
        </w:rPr>
      </w:pPr>
    </w:p>
    <w:p w14:paraId="2CF624BC" w14:textId="77777777" w:rsidR="00652304" w:rsidRDefault="00652304" w:rsidP="00D21F43">
      <w:pPr>
        <w:jc w:val="both"/>
        <w:rPr>
          <w:rFonts w:ascii="Arial" w:hAnsi="Arial" w:cs="Arial"/>
          <w:b/>
          <w:u w:val="single"/>
        </w:rPr>
      </w:pPr>
    </w:p>
    <w:p w14:paraId="79EC1078" w14:textId="77777777" w:rsidR="00652304" w:rsidRDefault="00652304" w:rsidP="00D21F43">
      <w:pPr>
        <w:jc w:val="both"/>
        <w:rPr>
          <w:rFonts w:ascii="Arial" w:hAnsi="Arial" w:cs="Arial"/>
          <w:b/>
          <w:u w:val="single"/>
        </w:rPr>
      </w:pPr>
    </w:p>
    <w:p w14:paraId="7040B311" w14:textId="77777777" w:rsidR="00652304" w:rsidRDefault="00652304" w:rsidP="00D21F43">
      <w:pPr>
        <w:jc w:val="both"/>
        <w:rPr>
          <w:rFonts w:ascii="Arial" w:hAnsi="Arial" w:cs="Arial"/>
          <w:b/>
          <w:u w:val="single"/>
        </w:rPr>
      </w:pPr>
    </w:p>
    <w:p w14:paraId="7D228D88" w14:textId="77777777" w:rsidR="00652304" w:rsidRDefault="00652304" w:rsidP="00D21F43">
      <w:pPr>
        <w:jc w:val="both"/>
        <w:rPr>
          <w:rFonts w:ascii="Arial" w:hAnsi="Arial" w:cs="Arial"/>
          <w:b/>
          <w:u w:val="single"/>
        </w:rPr>
      </w:pPr>
    </w:p>
    <w:p w14:paraId="319C8C13" w14:textId="77777777" w:rsidR="00652304" w:rsidRDefault="00652304" w:rsidP="00D21F43">
      <w:pPr>
        <w:jc w:val="both"/>
        <w:rPr>
          <w:rFonts w:ascii="Arial" w:hAnsi="Arial" w:cs="Arial"/>
          <w:b/>
          <w:u w:val="single"/>
        </w:rPr>
      </w:pPr>
    </w:p>
    <w:p w14:paraId="5DB67D82" w14:textId="77777777" w:rsidR="00652304" w:rsidRDefault="00652304" w:rsidP="00D21F43">
      <w:pPr>
        <w:jc w:val="both"/>
        <w:rPr>
          <w:rFonts w:ascii="Arial" w:hAnsi="Arial" w:cs="Arial"/>
          <w:b/>
          <w:u w:val="single"/>
        </w:rPr>
      </w:pPr>
    </w:p>
    <w:p w14:paraId="3CF9BE71" w14:textId="77777777" w:rsidR="00D21F43" w:rsidRPr="005E3617" w:rsidRDefault="00D21F43" w:rsidP="00D21F43">
      <w:pPr>
        <w:jc w:val="both"/>
        <w:rPr>
          <w:rFonts w:ascii="Arial" w:hAnsi="Arial" w:cs="Arial"/>
          <w:b/>
          <w:u w:val="single"/>
        </w:rPr>
      </w:pPr>
      <w:r w:rsidRPr="005E3617">
        <w:rPr>
          <w:rFonts w:ascii="Arial" w:hAnsi="Arial" w:cs="Arial"/>
          <w:b/>
          <w:u w:val="single"/>
        </w:rPr>
        <w:lastRenderedPageBreak/>
        <w:t xml:space="preserve">3.3 Key Performance Indicator 3 Measure of the Impact Services has on the Reduction of Substance Misuse </w:t>
      </w:r>
    </w:p>
    <w:p w14:paraId="540BC333" w14:textId="77777777" w:rsidR="00D21F43" w:rsidRPr="005E3617" w:rsidRDefault="00D21F43" w:rsidP="00D21F43">
      <w:pPr>
        <w:jc w:val="both"/>
        <w:rPr>
          <w:rFonts w:ascii="Arial" w:hAnsi="Arial" w:cs="Arial"/>
          <w:b/>
          <w:color w:val="FF0000"/>
          <w:u w:val="single"/>
        </w:rPr>
      </w:pPr>
    </w:p>
    <w:tbl>
      <w:tblPr>
        <w:tblStyle w:val="TableGrid"/>
        <w:tblW w:w="0" w:type="auto"/>
        <w:tblLook w:val="01E0" w:firstRow="1" w:lastRow="1" w:firstColumn="1" w:lastColumn="1" w:noHBand="0" w:noVBand="0"/>
      </w:tblPr>
      <w:tblGrid>
        <w:gridCol w:w="1710"/>
        <w:gridCol w:w="6586"/>
      </w:tblGrid>
      <w:tr w:rsidR="00D21F43" w:rsidRPr="00652304" w14:paraId="22B2B547" w14:textId="77777777" w:rsidTr="00361CD8">
        <w:tc>
          <w:tcPr>
            <w:tcW w:w="8522" w:type="dxa"/>
            <w:gridSpan w:val="2"/>
            <w:shd w:val="clear" w:color="auto" w:fill="D9D9D9"/>
          </w:tcPr>
          <w:p w14:paraId="624C66AC" w14:textId="77777777" w:rsidR="00D21F43" w:rsidRPr="00652304" w:rsidRDefault="00D21F43" w:rsidP="00361CD8">
            <w:pPr>
              <w:jc w:val="both"/>
              <w:rPr>
                <w:rFonts w:ascii="Arial" w:hAnsi="Arial" w:cs="Arial"/>
                <w:sz w:val="22"/>
                <w:szCs w:val="22"/>
              </w:rPr>
            </w:pPr>
            <w:r w:rsidRPr="00652304">
              <w:rPr>
                <w:rFonts w:ascii="Arial" w:hAnsi="Arial" w:cs="Arial"/>
                <w:sz w:val="22"/>
                <w:szCs w:val="22"/>
                <w:u w:val="single"/>
              </w:rPr>
              <w:t>Performance Indicator 3:</w:t>
            </w:r>
            <w:r w:rsidRPr="00652304">
              <w:rPr>
                <w:rFonts w:ascii="Arial" w:hAnsi="Arial" w:cs="Arial"/>
                <w:sz w:val="22"/>
                <w:szCs w:val="22"/>
              </w:rPr>
              <w:t xml:space="preserve"> </w:t>
            </w:r>
          </w:p>
          <w:p w14:paraId="280BCAF3"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Substance misuse is reduced </w:t>
            </w:r>
            <w:r w:rsidR="004F48EE">
              <w:rPr>
                <w:rFonts w:ascii="Arial" w:hAnsi="Arial" w:cs="Arial"/>
                <w:sz w:val="22"/>
                <w:szCs w:val="22"/>
              </w:rPr>
              <w:t xml:space="preserve">or unchanged </w:t>
            </w:r>
            <w:r w:rsidRPr="00652304">
              <w:rPr>
                <w:rFonts w:ascii="Arial" w:hAnsi="Arial" w:cs="Arial"/>
                <w:sz w:val="22"/>
                <w:szCs w:val="22"/>
              </w:rPr>
              <w:t>for problematic substances between start and most recent review / exit Treatment Outcomes Profile (TOP)</w:t>
            </w:r>
          </w:p>
          <w:p w14:paraId="6775866B" w14:textId="77777777" w:rsidR="00D21F43" w:rsidRPr="00652304" w:rsidRDefault="00D21F43" w:rsidP="00361CD8">
            <w:pPr>
              <w:jc w:val="both"/>
              <w:rPr>
                <w:rFonts w:ascii="Arial" w:hAnsi="Arial" w:cs="Arial"/>
                <w:sz w:val="22"/>
                <w:szCs w:val="22"/>
              </w:rPr>
            </w:pPr>
          </w:p>
        </w:tc>
      </w:tr>
      <w:tr w:rsidR="00D21F43" w:rsidRPr="00652304" w14:paraId="1C33221B" w14:textId="77777777" w:rsidTr="00361CD8">
        <w:tc>
          <w:tcPr>
            <w:tcW w:w="1721" w:type="dxa"/>
          </w:tcPr>
          <w:p w14:paraId="3CE128AE"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Rationale</w:t>
            </w:r>
          </w:p>
        </w:tc>
        <w:tc>
          <w:tcPr>
            <w:tcW w:w="6801" w:type="dxa"/>
          </w:tcPr>
          <w:p w14:paraId="24E2646B"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The outcome for clients when in receipt of substance misuse services is crucial to ascertaining the effectiveness of treatment programmes and is crucial to the evaluation of the impact of the Welsh Government’s strategy to tackle substance misuse. </w:t>
            </w:r>
          </w:p>
        </w:tc>
      </w:tr>
      <w:tr w:rsidR="00D21F43" w:rsidRPr="00652304" w14:paraId="423CA3DA" w14:textId="77777777" w:rsidTr="00361CD8">
        <w:tc>
          <w:tcPr>
            <w:tcW w:w="1721" w:type="dxa"/>
          </w:tcPr>
          <w:p w14:paraId="70B0395A"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Definitional Information. </w:t>
            </w:r>
          </w:p>
        </w:tc>
        <w:tc>
          <w:tcPr>
            <w:tcW w:w="6801" w:type="dxa"/>
          </w:tcPr>
          <w:p w14:paraId="33951FD7"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The indicator should be reflected in Service Level Agreements or contracts with service providers and monitored by commissioners. </w:t>
            </w:r>
          </w:p>
          <w:p w14:paraId="7AF3558A" w14:textId="77777777" w:rsidR="00D21F43" w:rsidRPr="00652304" w:rsidRDefault="00D21F43" w:rsidP="00361CD8">
            <w:pPr>
              <w:jc w:val="both"/>
              <w:rPr>
                <w:rFonts w:ascii="Arial" w:hAnsi="Arial" w:cs="Arial"/>
                <w:sz w:val="22"/>
                <w:szCs w:val="22"/>
              </w:rPr>
            </w:pPr>
          </w:p>
          <w:p w14:paraId="5B4A08B3" w14:textId="08B85D12" w:rsidR="00D21F43" w:rsidRPr="00652304" w:rsidRDefault="00D21F43" w:rsidP="00443D2E">
            <w:pPr>
              <w:jc w:val="both"/>
              <w:rPr>
                <w:rFonts w:ascii="Arial" w:hAnsi="Arial" w:cs="Arial"/>
                <w:sz w:val="22"/>
                <w:szCs w:val="22"/>
              </w:rPr>
            </w:pPr>
            <w:r w:rsidRPr="00652304">
              <w:rPr>
                <w:rFonts w:ascii="Arial" w:hAnsi="Arial" w:cs="Arial"/>
                <w:sz w:val="22"/>
                <w:szCs w:val="22"/>
              </w:rPr>
              <w:t xml:space="preserve">Eligible records are for clients aged 16 or over within structured treatment. </w:t>
            </w:r>
          </w:p>
        </w:tc>
      </w:tr>
      <w:tr w:rsidR="00D21F43" w:rsidRPr="00652304" w14:paraId="443E10D1" w14:textId="77777777" w:rsidTr="00361CD8">
        <w:tc>
          <w:tcPr>
            <w:tcW w:w="1721" w:type="dxa"/>
          </w:tcPr>
          <w:p w14:paraId="2B66C075"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Data source</w:t>
            </w:r>
          </w:p>
        </w:tc>
        <w:tc>
          <w:tcPr>
            <w:tcW w:w="6801" w:type="dxa"/>
          </w:tcPr>
          <w:p w14:paraId="1FF20F50" w14:textId="77777777" w:rsidR="00D21F43" w:rsidRPr="00652304" w:rsidRDefault="00D21F43" w:rsidP="00361CD8">
            <w:pPr>
              <w:keepNext/>
              <w:keepLines/>
              <w:jc w:val="both"/>
              <w:outlineLvl w:val="0"/>
              <w:rPr>
                <w:rFonts w:ascii="Arial" w:hAnsi="Arial" w:cs="Arial"/>
                <w:sz w:val="22"/>
                <w:szCs w:val="22"/>
              </w:rPr>
            </w:pPr>
            <w:r w:rsidRPr="00652304">
              <w:rPr>
                <w:rFonts w:ascii="Arial" w:hAnsi="Arial" w:cs="Arial"/>
                <w:sz w:val="22"/>
                <w:szCs w:val="22"/>
              </w:rPr>
              <w:t>Welsh National Database for Substance Misuse will provide the data using the following data items:</w:t>
            </w:r>
          </w:p>
          <w:p w14:paraId="24423C7E" w14:textId="77777777" w:rsidR="00D21F43" w:rsidRPr="00652304" w:rsidRDefault="00D21F43" w:rsidP="00D21F43">
            <w:pPr>
              <w:pStyle w:val="ListParagraph"/>
              <w:keepNext/>
              <w:keepLines/>
              <w:numPr>
                <w:ilvl w:val="0"/>
                <w:numId w:val="2"/>
              </w:numPr>
              <w:jc w:val="both"/>
              <w:outlineLvl w:val="0"/>
              <w:rPr>
                <w:rFonts w:ascii="Arial" w:hAnsi="Arial" w:cs="Arial"/>
                <w:sz w:val="22"/>
                <w:szCs w:val="22"/>
              </w:rPr>
            </w:pPr>
            <w:r w:rsidRPr="00652304">
              <w:rPr>
                <w:rFonts w:ascii="Arial" w:hAnsi="Arial" w:cs="Arial"/>
                <w:sz w:val="22"/>
                <w:szCs w:val="22"/>
              </w:rPr>
              <w:t xml:space="preserve">TOP Interview Date (The date at which the treatment outcome profile is undertaken), </w:t>
            </w:r>
          </w:p>
          <w:p w14:paraId="1C176BBE" w14:textId="77777777" w:rsidR="00D21F43" w:rsidRPr="00652304" w:rsidRDefault="00D21F43" w:rsidP="00D21F43">
            <w:pPr>
              <w:pStyle w:val="ListParagraph"/>
              <w:keepNext/>
              <w:keepLines/>
              <w:numPr>
                <w:ilvl w:val="0"/>
                <w:numId w:val="2"/>
              </w:numPr>
              <w:jc w:val="both"/>
              <w:outlineLvl w:val="0"/>
              <w:rPr>
                <w:rFonts w:ascii="Arial" w:hAnsi="Arial" w:cs="Arial"/>
                <w:sz w:val="22"/>
                <w:szCs w:val="22"/>
              </w:rPr>
            </w:pPr>
            <w:r w:rsidRPr="00652304">
              <w:rPr>
                <w:rFonts w:ascii="Arial" w:hAnsi="Arial" w:cs="Arial"/>
                <w:sz w:val="22"/>
                <w:szCs w:val="22"/>
              </w:rPr>
              <w:t xml:space="preserve">Treatment Stage (The point of treatment at which the treatment outcome profile is undertaken) and </w:t>
            </w:r>
          </w:p>
          <w:p w14:paraId="498D13D1" w14:textId="77777777" w:rsidR="00D21F43" w:rsidRPr="00652304" w:rsidRDefault="00D21F43" w:rsidP="00361CD8">
            <w:pPr>
              <w:pStyle w:val="ListParagraph"/>
              <w:keepNext/>
              <w:keepLines/>
              <w:numPr>
                <w:ilvl w:val="0"/>
                <w:numId w:val="2"/>
              </w:numPr>
              <w:jc w:val="both"/>
              <w:outlineLvl w:val="0"/>
              <w:rPr>
                <w:rFonts w:ascii="Arial" w:hAnsi="Arial" w:cs="Arial"/>
                <w:sz w:val="22"/>
                <w:szCs w:val="22"/>
              </w:rPr>
            </w:pPr>
            <w:r w:rsidRPr="00652304">
              <w:rPr>
                <w:rFonts w:ascii="Arial" w:hAnsi="Arial" w:cs="Arial"/>
                <w:sz w:val="22"/>
                <w:szCs w:val="22"/>
              </w:rPr>
              <w:t>The relevant types of problematic substances for an individual client to be recorded as appropriate</w:t>
            </w:r>
          </w:p>
        </w:tc>
      </w:tr>
      <w:tr w:rsidR="00972C9D" w:rsidRPr="00652304" w14:paraId="3EB89D1F" w14:textId="77777777" w:rsidTr="00361CD8">
        <w:tc>
          <w:tcPr>
            <w:tcW w:w="1721" w:type="dxa"/>
          </w:tcPr>
          <w:p w14:paraId="1C17FE3D" w14:textId="77777777" w:rsidR="00972C9D" w:rsidRPr="00652304" w:rsidRDefault="00972C9D" w:rsidP="00361CD8">
            <w:pPr>
              <w:jc w:val="both"/>
              <w:rPr>
                <w:rFonts w:ascii="Arial" w:hAnsi="Arial" w:cs="Arial"/>
                <w:sz w:val="22"/>
                <w:szCs w:val="22"/>
              </w:rPr>
            </w:pPr>
            <w:r w:rsidRPr="00652304">
              <w:rPr>
                <w:rFonts w:ascii="Arial" w:hAnsi="Arial" w:cs="Arial"/>
                <w:sz w:val="22"/>
                <w:szCs w:val="22"/>
              </w:rPr>
              <w:t>Methodology</w:t>
            </w:r>
          </w:p>
        </w:tc>
        <w:tc>
          <w:tcPr>
            <w:tcW w:w="6801" w:type="dxa"/>
          </w:tcPr>
          <w:p w14:paraId="5F813B9B" w14:textId="2A04947F" w:rsidR="00972C9D" w:rsidRPr="00652304" w:rsidRDefault="00DD4114" w:rsidP="00361CD8">
            <w:pPr>
              <w:jc w:val="both"/>
              <w:rPr>
                <w:rFonts w:ascii="Arial" w:hAnsi="Arial" w:cs="Arial"/>
                <w:sz w:val="22"/>
                <w:szCs w:val="22"/>
              </w:rPr>
            </w:pPr>
            <w:r>
              <w:rPr>
                <w:rFonts w:ascii="Arial" w:hAnsi="Arial" w:cs="Arial"/>
                <w:sz w:val="22"/>
                <w:szCs w:val="22"/>
              </w:rPr>
              <w:t xml:space="preserve">Nominator = Number of </w:t>
            </w:r>
            <w:r w:rsidR="008418D1" w:rsidRPr="00652304">
              <w:rPr>
                <w:rFonts w:ascii="Arial" w:hAnsi="Arial" w:cs="Arial"/>
                <w:sz w:val="22"/>
                <w:szCs w:val="22"/>
              </w:rPr>
              <w:t xml:space="preserve">TOP review/exits in period where substance used is reduced, </w:t>
            </w:r>
            <w:r>
              <w:rPr>
                <w:rFonts w:ascii="Arial" w:hAnsi="Arial" w:cs="Arial"/>
                <w:sz w:val="22"/>
                <w:szCs w:val="22"/>
              </w:rPr>
              <w:t>unchanged</w:t>
            </w:r>
            <w:r w:rsidR="008418D1" w:rsidRPr="00652304">
              <w:rPr>
                <w:rFonts w:ascii="Arial" w:hAnsi="Arial" w:cs="Arial"/>
                <w:sz w:val="22"/>
                <w:szCs w:val="22"/>
              </w:rPr>
              <w:t xml:space="preserve"> or </w:t>
            </w:r>
            <w:r>
              <w:rPr>
                <w:rFonts w:ascii="Arial" w:hAnsi="Arial" w:cs="Arial"/>
                <w:sz w:val="22"/>
                <w:szCs w:val="22"/>
              </w:rPr>
              <w:t>a</w:t>
            </w:r>
            <w:r w:rsidR="008418D1" w:rsidRPr="00652304">
              <w:rPr>
                <w:rFonts w:ascii="Arial" w:hAnsi="Arial" w:cs="Arial"/>
                <w:sz w:val="22"/>
                <w:szCs w:val="22"/>
              </w:rPr>
              <w:t xml:space="preserve">bstinent compared with the </w:t>
            </w:r>
            <w:r>
              <w:rPr>
                <w:rFonts w:ascii="Arial" w:hAnsi="Arial" w:cs="Arial"/>
                <w:sz w:val="22"/>
                <w:szCs w:val="22"/>
              </w:rPr>
              <w:t xml:space="preserve">same </w:t>
            </w:r>
            <w:r w:rsidR="008418D1" w:rsidRPr="00652304">
              <w:rPr>
                <w:rFonts w:ascii="Arial" w:hAnsi="Arial" w:cs="Arial"/>
                <w:sz w:val="22"/>
                <w:szCs w:val="22"/>
              </w:rPr>
              <w:t xml:space="preserve">substance used </w:t>
            </w:r>
            <w:r>
              <w:rPr>
                <w:rFonts w:ascii="Arial" w:hAnsi="Arial" w:cs="Arial"/>
                <w:sz w:val="22"/>
                <w:szCs w:val="22"/>
              </w:rPr>
              <w:t xml:space="preserve">in </w:t>
            </w:r>
            <w:r w:rsidR="008418D1" w:rsidRPr="00652304">
              <w:rPr>
                <w:rFonts w:ascii="Arial" w:hAnsi="Arial" w:cs="Arial"/>
                <w:sz w:val="22"/>
                <w:szCs w:val="22"/>
              </w:rPr>
              <w:t>the start TOP</w:t>
            </w:r>
            <w:r>
              <w:rPr>
                <w:rFonts w:ascii="Arial" w:hAnsi="Arial" w:cs="Arial"/>
                <w:sz w:val="22"/>
                <w:szCs w:val="22"/>
              </w:rPr>
              <w:t>.</w:t>
            </w:r>
          </w:p>
          <w:p w14:paraId="7BD89427" w14:textId="236F3C25" w:rsidR="008418D1" w:rsidRPr="00652304" w:rsidRDefault="00DD4114" w:rsidP="00DD4114">
            <w:pPr>
              <w:jc w:val="both"/>
              <w:rPr>
                <w:rFonts w:ascii="Arial" w:hAnsi="Arial" w:cs="Arial"/>
                <w:sz w:val="22"/>
                <w:szCs w:val="22"/>
              </w:rPr>
            </w:pPr>
            <w:r>
              <w:rPr>
                <w:rFonts w:ascii="Arial" w:hAnsi="Arial" w:cs="Arial"/>
                <w:sz w:val="22"/>
                <w:szCs w:val="22"/>
              </w:rPr>
              <w:t>Denominator = Number of TOP Reviews/exits in period with a corresponding start TOP.</w:t>
            </w:r>
          </w:p>
        </w:tc>
      </w:tr>
      <w:tr w:rsidR="00D21F43" w:rsidRPr="00652304" w14:paraId="434BF163" w14:textId="77777777" w:rsidTr="00361CD8">
        <w:tc>
          <w:tcPr>
            <w:tcW w:w="1721" w:type="dxa"/>
          </w:tcPr>
          <w:p w14:paraId="4B7078F7"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Additional Information</w:t>
            </w:r>
          </w:p>
        </w:tc>
        <w:tc>
          <w:tcPr>
            <w:tcW w:w="6801" w:type="dxa"/>
          </w:tcPr>
          <w:p w14:paraId="34DD793E"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It will be expected that each APB reports on both the number &amp; percentage where substance misuse has reduced for problematic substances between start and most recent review/exit TOP when reporting against this KPI.</w:t>
            </w:r>
          </w:p>
          <w:p w14:paraId="2F810D60" w14:textId="77777777" w:rsidR="00D21F43" w:rsidRPr="00652304" w:rsidRDefault="00D21F43" w:rsidP="00361CD8">
            <w:pPr>
              <w:jc w:val="both"/>
              <w:rPr>
                <w:rFonts w:ascii="Arial" w:hAnsi="Arial" w:cs="Arial"/>
                <w:sz w:val="22"/>
                <w:szCs w:val="22"/>
              </w:rPr>
            </w:pPr>
          </w:p>
          <w:p w14:paraId="04EAEB27"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This data will be available by treatment modality for management information purposes. </w:t>
            </w:r>
          </w:p>
        </w:tc>
      </w:tr>
    </w:tbl>
    <w:p w14:paraId="537841F9" w14:textId="77777777" w:rsidR="00D21F43" w:rsidRPr="00544F30" w:rsidRDefault="00D21F43" w:rsidP="00D21F43">
      <w:pPr>
        <w:jc w:val="both"/>
        <w:rPr>
          <w:rFonts w:ascii="Arial" w:hAnsi="Arial" w:cs="Arial"/>
          <w:color w:val="FF0000"/>
          <w:sz w:val="22"/>
          <w:szCs w:val="22"/>
        </w:rPr>
      </w:pPr>
    </w:p>
    <w:p w14:paraId="4787D396" w14:textId="77777777" w:rsidR="00D21F43" w:rsidRPr="00544F30" w:rsidRDefault="00D21F43" w:rsidP="00D21F43">
      <w:pPr>
        <w:jc w:val="both"/>
        <w:rPr>
          <w:rFonts w:ascii="Arial" w:hAnsi="Arial" w:cs="Arial"/>
          <w:b/>
          <w:color w:val="FF0000"/>
          <w:sz w:val="22"/>
          <w:szCs w:val="22"/>
        </w:rPr>
      </w:pPr>
      <w:r w:rsidRPr="00544F30">
        <w:rPr>
          <w:rFonts w:ascii="Arial" w:hAnsi="Arial" w:cs="Arial"/>
          <w:color w:val="FF0000"/>
          <w:sz w:val="22"/>
          <w:szCs w:val="22"/>
        </w:rPr>
        <w:br w:type="page"/>
      </w:r>
      <w:r w:rsidRPr="00544F30">
        <w:rPr>
          <w:rFonts w:ascii="Arial" w:hAnsi="Arial" w:cs="Arial"/>
          <w:color w:val="FF0000"/>
          <w:sz w:val="22"/>
          <w:szCs w:val="22"/>
        </w:rPr>
        <w:lastRenderedPageBreak/>
        <w:t xml:space="preserve"> </w:t>
      </w:r>
      <w:r w:rsidRPr="00544F30">
        <w:rPr>
          <w:rFonts w:ascii="Arial" w:hAnsi="Arial" w:cs="Arial"/>
          <w:b/>
          <w:color w:val="FF0000"/>
          <w:sz w:val="22"/>
          <w:szCs w:val="22"/>
        </w:rPr>
        <w:t xml:space="preserve"> </w:t>
      </w:r>
    </w:p>
    <w:p w14:paraId="40CCEB12" w14:textId="77777777" w:rsidR="00D21F43" w:rsidRPr="00E52F19" w:rsidRDefault="00D21F43" w:rsidP="00D21F43">
      <w:pPr>
        <w:jc w:val="both"/>
        <w:rPr>
          <w:rFonts w:ascii="Arial" w:hAnsi="Arial" w:cs="Arial"/>
          <w:b/>
          <w:u w:val="single"/>
        </w:rPr>
      </w:pPr>
      <w:r w:rsidRPr="00E52F19">
        <w:rPr>
          <w:rFonts w:ascii="Arial" w:hAnsi="Arial" w:cs="Arial"/>
          <w:b/>
          <w:u w:val="single"/>
        </w:rPr>
        <w:t xml:space="preserve">3.4 Key Performance Indicator 4 Measure of the Impact Services has on Enhancing Quality Of Life for Clients </w:t>
      </w:r>
    </w:p>
    <w:p w14:paraId="1062F99E" w14:textId="77777777" w:rsidR="00D21F43" w:rsidRPr="00E52F19" w:rsidRDefault="00D21F43" w:rsidP="00D21F43">
      <w:pPr>
        <w:jc w:val="both"/>
        <w:rPr>
          <w:rFonts w:ascii="Arial" w:hAnsi="Arial" w:cs="Arial"/>
          <w:b/>
          <w:u w:val="single"/>
        </w:rPr>
      </w:pPr>
    </w:p>
    <w:tbl>
      <w:tblPr>
        <w:tblStyle w:val="TableGrid"/>
        <w:tblW w:w="0" w:type="auto"/>
        <w:tblLook w:val="01E0" w:firstRow="1" w:lastRow="1" w:firstColumn="1" w:lastColumn="1" w:noHBand="0" w:noVBand="0"/>
      </w:tblPr>
      <w:tblGrid>
        <w:gridCol w:w="1715"/>
        <w:gridCol w:w="6581"/>
      </w:tblGrid>
      <w:tr w:rsidR="00D21F43" w:rsidRPr="00652304" w14:paraId="6DCA57FF" w14:textId="77777777" w:rsidTr="008418D1">
        <w:tc>
          <w:tcPr>
            <w:tcW w:w="8296" w:type="dxa"/>
            <w:gridSpan w:val="2"/>
            <w:shd w:val="clear" w:color="auto" w:fill="D9D9D9"/>
          </w:tcPr>
          <w:p w14:paraId="400EE157" w14:textId="77777777" w:rsidR="00D21F43" w:rsidRPr="00652304" w:rsidRDefault="00D21F43" w:rsidP="00361CD8">
            <w:pPr>
              <w:jc w:val="both"/>
              <w:rPr>
                <w:rFonts w:ascii="Arial" w:hAnsi="Arial" w:cs="Arial"/>
                <w:sz w:val="22"/>
                <w:szCs w:val="22"/>
              </w:rPr>
            </w:pPr>
            <w:r w:rsidRPr="00652304">
              <w:rPr>
                <w:rFonts w:ascii="Arial" w:hAnsi="Arial" w:cs="Arial"/>
                <w:sz w:val="22"/>
                <w:szCs w:val="22"/>
                <w:u w:val="single"/>
              </w:rPr>
              <w:t>Performance Indicator 4:</w:t>
            </w:r>
            <w:r w:rsidRPr="00652304">
              <w:rPr>
                <w:rFonts w:ascii="Arial" w:hAnsi="Arial" w:cs="Arial"/>
                <w:sz w:val="22"/>
                <w:szCs w:val="22"/>
              </w:rPr>
              <w:t xml:space="preserve"> </w:t>
            </w:r>
          </w:p>
          <w:p w14:paraId="15E79043"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Quality of life is improved </w:t>
            </w:r>
            <w:r w:rsidR="004F48EE">
              <w:rPr>
                <w:rFonts w:ascii="Arial" w:hAnsi="Arial" w:cs="Arial"/>
                <w:sz w:val="22"/>
                <w:szCs w:val="22"/>
              </w:rPr>
              <w:t xml:space="preserve">or unchanged </w:t>
            </w:r>
            <w:r w:rsidRPr="00652304">
              <w:rPr>
                <w:rFonts w:ascii="Arial" w:hAnsi="Arial" w:cs="Arial"/>
                <w:sz w:val="22"/>
                <w:szCs w:val="22"/>
              </w:rPr>
              <w:t>between start and most recent review / exit Treatment Outcomes Profile (TOP)</w:t>
            </w:r>
          </w:p>
          <w:p w14:paraId="6F962305" w14:textId="77777777" w:rsidR="00D21F43" w:rsidRPr="00652304" w:rsidRDefault="00D21F43" w:rsidP="00361CD8">
            <w:pPr>
              <w:jc w:val="both"/>
              <w:rPr>
                <w:rFonts w:ascii="Arial" w:hAnsi="Arial" w:cs="Arial"/>
                <w:sz w:val="22"/>
                <w:szCs w:val="22"/>
              </w:rPr>
            </w:pPr>
          </w:p>
        </w:tc>
      </w:tr>
      <w:tr w:rsidR="00D21F43" w:rsidRPr="00652304" w14:paraId="161C0C84" w14:textId="77777777" w:rsidTr="008418D1">
        <w:tc>
          <w:tcPr>
            <w:tcW w:w="1715" w:type="dxa"/>
          </w:tcPr>
          <w:p w14:paraId="069EC21C"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Rationale</w:t>
            </w:r>
          </w:p>
        </w:tc>
        <w:tc>
          <w:tcPr>
            <w:tcW w:w="6581" w:type="dxa"/>
          </w:tcPr>
          <w:p w14:paraId="13895204"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The outcome for clients when in receipt of substance misuse services is crucial to ascertaining the effectiveness of treatment programmes and is crucial to the evaluation of the impact of the Welsh Government’s strategy to tackle substance misuse. </w:t>
            </w:r>
          </w:p>
        </w:tc>
      </w:tr>
      <w:tr w:rsidR="00D21F43" w:rsidRPr="00652304" w14:paraId="28CE9C9F" w14:textId="77777777" w:rsidTr="008418D1">
        <w:tc>
          <w:tcPr>
            <w:tcW w:w="1715" w:type="dxa"/>
          </w:tcPr>
          <w:p w14:paraId="4D18EC1C"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Definitional Information. </w:t>
            </w:r>
          </w:p>
        </w:tc>
        <w:tc>
          <w:tcPr>
            <w:tcW w:w="6581" w:type="dxa"/>
          </w:tcPr>
          <w:p w14:paraId="5026C4F0"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The indicator should be reflected in Service Level Agreements or contracts with service providers and monitored by commissioners. </w:t>
            </w:r>
          </w:p>
          <w:p w14:paraId="7A5E1210" w14:textId="77777777" w:rsidR="00D21F43" w:rsidRPr="00652304" w:rsidRDefault="00D21F43" w:rsidP="00361CD8">
            <w:pPr>
              <w:jc w:val="both"/>
              <w:rPr>
                <w:rFonts w:ascii="Arial" w:hAnsi="Arial" w:cs="Arial"/>
                <w:sz w:val="22"/>
                <w:szCs w:val="22"/>
              </w:rPr>
            </w:pPr>
          </w:p>
          <w:p w14:paraId="64945004" w14:textId="0F92B0E1" w:rsidR="00D21F43" w:rsidRPr="00652304" w:rsidRDefault="00D21F43" w:rsidP="004F48EE">
            <w:pPr>
              <w:jc w:val="both"/>
              <w:rPr>
                <w:rFonts w:ascii="Arial" w:hAnsi="Arial" w:cs="Arial"/>
                <w:sz w:val="22"/>
                <w:szCs w:val="22"/>
              </w:rPr>
            </w:pPr>
            <w:r w:rsidRPr="00652304">
              <w:rPr>
                <w:rFonts w:ascii="Arial" w:hAnsi="Arial" w:cs="Arial"/>
                <w:sz w:val="22"/>
                <w:szCs w:val="22"/>
              </w:rPr>
              <w:t xml:space="preserve">Eligible records are for clients aged 16 or over within structured treatment.  </w:t>
            </w:r>
          </w:p>
        </w:tc>
      </w:tr>
      <w:tr w:rsidR="00D21F43" w:rsidRPr="00652304" w14:paraId="6E077EC6" w14:textId="77777777" w:rsidTr="008418D1">
        <w:tc>
          <w:tcPr>
            <w:tcW w:w="1715" w:type="dxa"/>
          </w:tcPr>
          <w:p w14:paraId="195B3A35"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Data source</w:t>
            </w:r>
          </w:p>
        </w:tc>
        <w:tc>
          <w:tcPr>
            <w:tcW w:w="6581" w:type="dxa"/>
          </w:tcPr>
          <w:p w14:paraId="5BD4D0CE" w14:textId="77777777" w:rsidR="00D21F43" w:rsidRPr="00652304" w:rsidRDefault="00D21F43" w:rsidP="00361CD8">
            <w:pPr>
              <w:keepNext/>
              <w:keepLines/>
              <w:pBdr>
                <w:top w:val="single" w:sz="4" w:space="1" w:color="auto"/>
              </w:pBdr>
              <w:jc w:val="both"/>
              <w:outlineLvl w:val="0"/>
              <w:rPr>
                <w:rFonts w:ascii="Arial" w:hAnsi="Arial" w:cs="Arial"/>
                <w:sz w:val="22"/>
                <w:szCs w:val="22"/>
              </w:rPr>
            </w:pPr>
            <w:r w:rsidRPr="00652304">
              <w:rPr>
                <w:rFonts w:ascii="Arial" w:hAnsi="Arial" w:cs="Arial"/>
                <w:sz w:val="22"/>
                <w:szCs w:val="22"/>
              </w:rPr>
              <w:t xml:space="preserve">Welsh National Database for Substance Misuse will provide the data using the following data items: </w:t>
            </w:r>
          </w:p>
          <w:p w14:paraId="0E5B489A" w14:textId="77777777" w:rsidR="00D21F43" w:rsidRPr="00652304" w:rsidRDefault="00D21F43" w:rsidP="00D21F43">
            <w:pPr>
              <w:pStyle w:val="ListParagraph"/>
              <w:keepNext/>
              <w:keepLines/>
              <w:numPr>
                <w:ilvl w:val="0"/>
                <w:numId w:val="3"/>
              </w:numPr>
              <w:pBdr>
                <w:top w:val="single" w:sz="4" w:space="1" w:color="auto"/>
              </w:pBdr>
              <w:jc w:val="both"/>
              <w:outlineLvl w:val="0"/>
              <w:rPr>
                <w:rFonts w:ascii="Arial" w:hAnsi="Arial" w:cs="Arial"/>
                <w:sz w:val="22"/>
                <w:szCs w:val="22"/>
              </w:rPr>
            </w:pPr>
            <w:r w:rsidRPr="00652304">
              <w:rPr>
                <w:rFonts w:ascii="Arial" w:hAnsi="Arial" w:cs="Arial"/>
                <w:sz w:val="22"/>
                <w:szCs w:val="22"/>
              </w:rPr>
              <w:t xml:space="preserve">TOP Interview Date (The date at which the treatment outcome profile is undertaken), </w:t>
            </w:r>
          </w:p>
          <w:p w14:paraId="5EFD06A6" w14:textId="77777777" w:rsidR="00D21F43" w:rsidRPr="00652304" w:rsidRDefault="00D21F43" w:rsidP="00D21F43">
            <w:pPr>
              <w:pStyle w:val="ListParagraph"/>
              <w:keepNext/>
              <w:keepLines/>
              <w:numPr>
                <w:ilvl w:val="0"/>
                <w:numId w:val="3"/>
              </w:numPr>
              <w:pBdr>
                <w:top w:val="single" w:sz="4" w:space="1" w:color="auto"/>
              </w:pBdr>
              <w:jc w:val="both"/>
              <w:outlineLvl w:val="0"/>
              <w:rPr>
                <w:rFonts w:ascii="Arial" w:hAnsi="Arial" w:cs="Arial"/>
                <w:sz w:val="22"/>
                <w:szCs w:val="22"/>
              </w:rPr>
            </w:pPr>
            <w:r w:rsidRPr="00652304">
              <w:rPr>
                <w:rFonts w:ascii="Arial" w:hAnsi="Arial" w:cs="Arial"/>
                <w:sz w:val="22"/>
                <w:szCs w:val="22"/>
              </w:rPr>
              <w:t xml:space="preserve">Treatment Stage (The point of treatment at which the treatment outcome profile is undertaken) and </w:t>
            </w:r>
          </w:p>
          <w:p w14:paraId="2BF4EBD1" w14:textId="77777777" w:rsidR="00D21F43" w:rsidRPr="00652304" w:rsidRDefault="00D21F43" w:rsidP="00361CD8">
            <w:pPr>
              <w:pStyle w:val="ListParagraph"/>
              <w:keepNext/>
              <w:keepLines/>
              <w:numPr>
                <w:ilvl w:val="0"/>
                <w:numId w:val="3"/>
              </w:numPr>
              <w:jc w:val="both"/>
              <w:outlineLvl w:val="0"/>
              <w:rPr>
                <w:rFonts w:ascii="Arial" w:hAnsi="Arial" w:cs="Arial"/>
                <w:sz w:val="22"/>
                <w:szCs w:val="22"/>
              </w:rPr>
            </w:pPr>
            <w:r w:rsidRPr="00652304">
              <w:rPr>
                <w:rFonts w:ascii="Arial" w:hAnsi="Arial" w:cs="Arial"/>
                <w:sz w:val="22"/>
                <w:szCs w:val="22"/>
              </w:rPr>
              <w:t xml:space="preserve">Quality of Life (Where the client scores their overall quality of life (e.g. able to enjoy life, gets on well with family and partners) using a scale 0 - 20). </w:t>
            </w:r>
          </w:p>
        </w:tc>
      </w:tr>
      <w:tr w:rsidR="008418D1" w:rsidRPr="00652304" w14:paraId="609BB0BA" w14:textId="77777777" w:rsidTr="008418D1">
        <w:tc>
          <w:tcPr>
            <w:tcW w:w="1715" w:type="dxa"/>
          </w:tcPr>
          <w:p w14:paraId="30976792" w14:textId="77777777" w:rsidR="008418D1" w:rsidRPr="00652304" w:rsidRDefault="008418D1" w:rsidP="008418D1">
            <w:pPr>
              <w:jc w:val="both"/>
              <w:rPr>
                <w:rFonts w:ascii="Arial" w:hAnsi="Arial" w:cs="Arial"/>
                <w:sz w:val="22"/>
                <w:szCs w:val="22"/>
              </w:rPr>
            </w:pPr>
            <w:r w:rsidRPr="00652304">
              <w:rPr>
                <w:rFonts w:ascii="Arial" w:hAnsi="Arial" w:cs="Arial"/>
                <w:sz w:val="22"/>
                <w:szCs w:val="22"/>
              </w:rPr>
              <w:t>Methodology</w:t>
            </w:r>
          </w:p>
        </w:tc>
        <w:tc>
          <w:tcPr>
            <w:tcW w:w="6581" w:type="dxa"/>
          </w:tcPr>
          <w:p w14:paraId="357616E1" w14:textId="56079DC8" w:rsidR="00DD4114" w:rsidRDefault="00DD4114" w:rsidP="00702AD6">
            <w:pPr>
              <w:rPr>
                <w:rFonts w:ascii="Arial" w:hAnsi="Arial" w:cs="Arial"/>
                <w:sz w:val="22"/>
                <w:szCs w:val="22"/>
              </w:rPr>
            </w:pPr>
            <w:r>
              <w:rPr>
                <w:rFonts w:ascii="Arial" w:hAnsi="Arial" w:cs="Arial"/>
                <w:sz w:val="22"/>
                <w:szCs w:val="22"/>
              </w:rPr>
              <w:t>Numerator</w:t>
            </w:r>
            <w:r w:rsidR="005016F2">
              <w:rPr>
                <w:rFonts w:ascii="Arial" w:hAnsi="Arial" w:cs="Arial"/>
                <w:sz w:val="22"/>
                <w:szCs w:val="22"/>
              </w:rPr>
              <w:t xml:space="preserve"> </w:t>
            </w:r>
            <w:r>
              <w:rPr>
                <w:rFonts w:ascii="Arial" w:hAnsi="Arial" w:cs="Arial"/>
                <w:sz w:val="22"/>
                <w:szCs w:val="22"/>
              </w:rPr>
              <w:t>=</w:t>
            </w:r>
            <w:r w:rsidR="005016F2">
              <w:rPr>
                <w:rFonts w:ascii="Arial" w:hAnsi="Arial" w:cs="Arial"/>
                <w:sz w:val="22"/>
                <w:szCs w:val="22"/>
              </w:rPr>
              <w:t xml:space="preserve"> </w:t>
            </w:r>
            <w:r>
              <w:rPr>
                <w:rFonts w:ascii="Arial" w:hAnsi="Arial" w:cs="Arial"/>
                <w:sz w:val="22"/>
                <w:szCs w:val="22"/>
              </w:rPr>
              <w:t xml:space="preserve">Number of </w:t>
            </w:r>
            <w:r w:rsidR="008418D1" w:rsidRPr="00652304">
              <w:rPr>
                <w:rFonts w:ascii="Arial" w:hAnsi="Arial" w:cs="Arial"/>
                <w:sz w:val="22"/>
                <w:szCs w:val="22"/>
              </w:rPr>
              <w:t>TOP review/exit in period where quality o</w:t>
            </w:r>
            <w:r>
              <w:rPr>
                <w:rFonts w:ascii="Arial" w:hAnsi="Arial" w:cs="Arial"/>
                <w:sz w:val="22"/>
                <w:szCs w:val="22"/>
              </w:rPr>
              <w:t>f life is improved or unchanged comparing the review/exit to the start TOP.</w:t>
            </w:r>
          </w:p>
          <w:p w14:paraId="3B6D0669" w14:textId="4267F1CE" w:rsidR="008418D1" w:rsidRPr="00652304" w:rsidRDefault="00DD4114" w:rsidP="00DD4114">
            <w:pPr>
              <w:rPr>
                <w:rFonts w:ascii="Arial" w:hAnsi="Arial" w:cs="Arial"/>
                <w:sz w:val="22"/>
                <w:szCs w:val="22"/>
              </w:rPr>
            </w:pPr>
            <w:r>
              <w:rPr>
                <w:rFonts w:ascii="Arial" w:hAnsi="Arial" w:cs="Arial"/>
                <w:sz w:val="22"/>
                <w:szCs w:val="22"/>
              </w:rPr>
              <w:t>Denominator = Number of TOP review/exit in period where there is a corresponding start TOP.</w:t>
            </w:r>
            <w:r w:rsidR="005108E5">
              <w:rPr>
                <w:rFonts w:ascii="Arial" w:hAnsi="Arial" w:cs="Arial"/>
                <w:sz w:val="22"/>
                <w:szCs w:val="22"/>
              </w:rPr>
              <w:t xml:space="preserve"> </w:t>
            </w:r>
          </w:p>
        </w:tc>
      </w:tr>
      <w:tr w:rsidR="008418D1" w:rsidRPr="00652304" w14:paraId="341C4A7F" w14:textId="77777777" w:rsidTr="008418D1">
        <w:tc>
          <w:tcPr>
            <w:tcW w:w="1715" w:type="dxa"/>
          </w:tcPr>
          <w:p w14:paraId="4FD7AD74" w14:textId="77777777" w:rsidR="008418D1" w:rsidRPr="00652304" w:rsidRDefault="008418D1" w:rsidP="008418D1">
            <w:pPr>
              <w:jc w:val="both"/>
              <w:rPr>
                <w:rFonts w:ascii="Arial" w:hAnsi="Arial" w:cs="Arial"/>
                <w:sz w:val="22"/>
                <w:szCs w:val="22"/>
              </w:rPr>
            </w:pPr>
            <w:r w:rsidRPr="00652304">
              <w:rPr>
                <w:rFonts w:ascii="Arial" w:hAnsi="Arial" w:cs="Arial"/>
                <w:sz w:val="22"/>
                <w:szCs w:val="22"/>
              </w:rPr>
              <w:t xml:space="preserve">Additional Information </w:t>
            </w:r>
          </w:p>
        </w:tc>
        <w:tc>
          <w:tcPr>
            <w:tcW w:w="6581" w:type="dxa"/>
          </w:tcPr>
          <w:p w14:paraId="20262BD6" w14:textId="77777777" w:rsidR="008418D1" w:rsidRPr="00652304" w:rsidRDefault="008418D1" w:rsidP="008418D1">
            <w:pPr>
              <w:jc w:val="both"/>
              <w:rPr>
                <w:rFonts w:ascii="Arial" w:hAnsi="Arial" w:cs="Arial"/>
                <w:sz w:val="22"/>
                <w:szCs w:val="22"/>
              </w:rPr>
            </w:pPr>
            <w:r w:rsidRPr="00652304">
              <w:rPr>
                <w:rFonts w:ascii="Arial" w:hAnsi="Arial" w:cs="Arial"/>
                <w:sz w:val="22"/>
                <w:szCs w:val="22"/>
              </w:rPr>
              <w:t>It will be expected that each APB reports on both the number and percentage whose quality of life has improved when reporting against this KPI.</w:t>
            </w:r>
          </w:p>
          <w:p w14:paraId="736C6B69" w14:textId="77777777" w:rsidR="008418D1" w:rsidRPr="00652304" w:rsidRDefault="008418D1" w:rsidP="008418D1">
            <w:pPr>
              <w:jc w:val="both"/>
              <w:rPr>
                <w:rFonts w:ascii="Arial" w:hAnsi="Arial" w:cs="Arial"/>
                <w:sz w:val="22"/>
                <w:szCs w:val="22"/>
              </w:rPr>
            </w:pPr>
          </w:p>
          <w:p w14:paraId="21617D9A" w14:textId="77777777" w:rsidR="008418D1" w:rsidRPr="00652304" w:rsidRDefault="008418D1" w:rsidP="008418D1">
            <w:pPr>
              <w:jc w:val="both"/>
              <w:rPr>
                <w:rFonts w:ascii="Arial" w:hAnsi="Arial" w:cs="Arial"/>
                <w:sz w:val="22"/>
                <w:szCs w:val="22"/>
              </w:rPr>
            </w:pPr>
            <w:r w:rsidRPr="00652304">
              <w:rPr>
                <w:rFonts w:ascii="Arial" w:hAnsi="Arial" w:cs="Arial"/>
                <w:sz w:val="22"/>
                <w:szCs w:val="22"/>
              </w:rPr>
              <w:t xml:space="preserve">This data will be available by treatment modality for management information purposes. </w:t>
            </w:r>
          </w:p>
        </w:tc>
      </w:tr>
    </w:tbl>
    <w:p w14:paraId="3C62C3E7" w14:textId="77777777" w:rsidR="00D21F43" w:rsidRPr="00544F30" w:rsidRDefault="00D21F43" w:rsidP="00D21F43">
      <w:pPr>
        <w:jc w:val="both"/>
        <w:rPr>
          <w:rFonts w:ascii="Arial" w:hAnsi="Arial" w:cs="Arial"/>
          <w:color w:val="FF0000"/>
          <w:sz w:val="22"/>
          <w:szCs w:val="22"/>
        </w:rPr>
      </w:pPr>
    </w:p>
    <w:p w14:paraId="34023F9F" w14:textId="77777777" w:rsidR="00D21F43" w:rsidRPr="00211338" w:rsidRDefault="00D21F43" w:rsidP="00D21F43">
      <w:pPr>
        <w:jc w:val="both"/>
        <w:rPr>
          <w:rFonts w:ascii="Arial" w:hAnsi="Arial" w:cs="Arial"/>
          <w:b/>
          <w:u w:val="single"/>
        </w:rPr>
      </w:pPr>
      <w:r w:rsidRPr="00544F30">
        <w:rPr>
          <w:rFonts w:ascii="Arial" w:hAnsi="Arial" w:cs="Arial"/>
          <w:color w:val="FF0000"/>
          <w:sz w:val="22"/>
          <w:szCs w:val="22"/>
        </w:rPr>
        <w:br w:type="page"/>
      </w:r>
      <w:r w:rsidRPr="00211338">
        <w:rPr>
          <w:rFonts w:ascii="Arial" w:hAnsi="Arial" w:cs="Arial"/>
          <w:b/>
          <w:u w:val="single"/>
        </w:rPr>
        <w:lastRenderedPageBreak/>
        <w:t xml:space="preserve">3.5 Key Performance Indicator 5 Measure of the Impact Services Have On Clients at Completion of Treatment </w:t>
      </w:r>
    </w:p>
    <w:p w14:paraId="554F9445" w14:textId="77777777" w:rsidR="00D21F43" w:rsidRPr="00211338" w:rsidRDefault="00D21F43" w:rsidP="00D21F43">
      <w:pPr>
        <w:jc w:val="both"/>
        <w:rPr>
          <w:rFonts w:ascii="Arial" w:hAnsi="Arial" w:cs="Arial"/>
          <w:b/>
          <w:u w:val="single"/>
        </w:rPr>
      </w:pPr>
    </w:p>
    <w:tbl>
      <w:tblPr>
        <w:tblStyle w:val="TableGrid"/>
        <w:tblW w:w="0" w:type="auto"/>
        <w:tblLook w:val="01E0" w:firstRow="1" w:lastRow="1" w:firstColumn="1" w:lastColumn="1" w:noHBand="0" w:noVBand="0"/>
      </w:tblPr>
      <w:tblGrid>
        <w:gridCol w:w="1715"/>
        <w:gridCol w:w="6581"/>
      </w:tblGrid>
      <w:tr w:rsidR="00D21F43" w:rsidRPr="00652304" w14:paraId="5E808B81" w14:textId="77777777" w:rsidTr="00361CD8">
        <w:tc>
          <w:tcPr>
            <w:tcW w:w="8522" w:type="dxa"/>
            <w:gridSpan w:val="2"/>
            <w:shd w:val="clear" w:color="auto" w:fill="D9D9D9"/>
          </w:tcPr>
          <w:p w14:paraId="68F80F47" w14:textId="77777777" w:rsidR="00D21F43" w:rsidRPr="00652304" w:rsidRDefault="00D21F43" w:rsidP="00361CD8">
            <w:pPr>
              <w:jc w:val="both"/>
              <w:rPr>
                <w:rFonts w:ascii="Arial" w:hAnsi="Arial" w:cs="Arial"/>
                <w:sz w:val="22"/>
                <w:szCs w:val="22"/>
              </w:rPr>
            </w:pPr>
            <w:r w:rsidRPr="00652304">
              <w:rPr>
                <w:rFonts w:ascii="Arial" w:hAnsi="Arial" w:cs="Arial"/>
                <w:sz w:val="22"/>
                <w:szCs w:val="22"/>
                <w:u w:val="single"/>
              </w:rPr>
              <w:t>Performance Indicator 5:</w:t>
            </w:r>
            <w:r w:rsidRPr="00652304">
              <w:rPr>
                <w:rFonts w:ascii="Arial" w:hAnsi="Arial" w:cs="Arial"/>
                <w:sz w:val="22"/>
                <w:szCs w:val="22"/>
              </w:rPr>
              <w:t xml:space="preserve"> </w:t>
            </w:r>
          </w:p>
          <w:p w14:paraId="0F6F0C6F"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Number / Percentage of cases closed (with a treatment date) as treatment completed. </w:t>
            </w:r>
          </w:p>
          <w:p w14:paraId="323CB88B" w14:textId="77777777" w:rsidR="00D21F43" w:rsidRPr="00652304" w:rsidRDefault="00D21F43" w:rsidP="00361CD8">
            <w:pPr>
              <w:jc w:val="both"/>
              <w:rPr>
                <w:rFonts w:ascii="Arial" w:hAnsi="Arial" w:cs="Arial"/>
                <w:sz w:val="22"/>
                <w:szCs w:val="22"/>
              </w:rPr>
            </w:pPr>
          </w:p>
        </w:tc>
      </w:tr>
      <w:tr w:rsidR="00D21F43" w:rsidRPr="00652304" w14:paraId="3C16A945" w14:textId="77777777" w:rsidTr="00361CD8">
        <w:tc>
          <w:tcPr>
            <w:tcW w:w="1721" w:type="dxa"/>
          </w:tcPr>
          <w:p w14:paraId="0474B9FF"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Rationale</w:t>
            </w:r>
          </w:p>
        </w:tc>
        <w:tc>
          <w:tcPr>
            <w:tcW w:w="6801" w:type="dxa"/>
          </w:tcPr>
          <w:p w14:paraId="0D100EDB"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The outcome for clients when in receipt of substance misuse services is crucial to ascertaining the effectiveness of treatment programmes and is crucial to the evaluation of the impact of the Welsh Government’s strategy to tackle substance misuse. </w:t>
            </w:r>
          </w:p>
        </w:tc>
      </w:tr>
      <w:tr w:rsidR="00D21F43" w:rsidRPr="00652304" w14:paraId="40061EE9" w14:textId="77777777" w:rsidTr="00361CD8">
        <w:tc>
          <w:tcPr>
            <w:tcW w:w="1721" w:type="dxa"/>
          </w:tcPr>
          <w:p w14:paraId="4C68A15E"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Definitional Information. </w:t>
            </w:r>
          </w:p>
        </w:tc>
        <w:tc>
          <w:tcPr>
            <w:tcW w:w="6801" w:type="dxa"/>
          </w:tcPr>
          <w:p w14:paraId="6503832A"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The indicator should be reflected in Service Level Agreements or contracts with service providers and monitored by commissioners. </w:t>
            </w:r>
          </w:p>
          <w:p w14:paraId="52CBD14D" w14:textId="77777777" w:rsidR="00D21F43" w:rsidRPr="00652304" w:rsidRDefault="00D21F43" w:rsidP="00361CD8">
            <w:pPr>
              <w:jc w:val="both"/>
              <w:rPr>
                <w:rFonts w:ascii="Arial" w:hAnsi="Arial" w:cs="Arial"/>
                <w:sz w:val="22"/>
                <w:szCs w:val="22"/>
              </w:rPr>
            </w:pPr>
          </w:p>
          <w:p w14:paraId="70295827"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Eligible records will include all records on the Welsh National Database for Substance Misuse which has a treatment date. </w:t>
            </w:r>
          </w:p>
          <w:p w14:paraId="7D27C08F" w14:textId="77777777" w:rsidR="00D21F43" w:rsidRPr="00652304" w:rsidRDefault="00D21F43" w:rsidP="00361CD8">
            <w:pPr>
              <w:jc w:val="both"/>
              <w:rPr>
                <w:rFonts w:ascii="Arial" w:hAnsi="Arial" w:cs="Arial"/>
                <w:sz w:val="22"/>
                <w:szCs w:val="22"/>
              </w:rPr>
            </w:pPr>
          </w:p>
          <w:p w14:paraId="79131978"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Treatment completed will be deemed as either problematic substance free or by client reaching treatment goal(s) as agreed at the commencement of treatment.</w:t>
            </w:r>
          </w:p>
          <w:p w14:paraId="6CC5039B" w14:textId="77777777" w:rsidR="00D21F43" w:rsidRPr="00652304" w:rsidRDefault="00D21F43" w:rsidP="00361CD8">
            <w:pPr>
              <w:jc w:val="both"/>
              <w:rPr>
                <w:rFonts w:ascii="Arial" w:hAnsi="Arial" w:cs="Arial"/>
                <w:sz w:val="22"/>
                <w:szCs w:val="22"/>
              </w:rPr>
            </w:pPr>
          </w:p>
          <w:p w14:paraId="5D284A9E"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Negative outcomes are considered as the following: </w:t>
            </w:r>
          </w:p>
          <w:p w14:paraId="6DC36C3B"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Treatment withdrawn (breach of contract), deceased and DNAs. It is noted that the following closure reasons are omitted from this calculation as they do not have a treatment date: </w:t>
            </w:r>
          </w:p>
          <w:p w14:paraId="7D1C15A8" w14:textId="77777777" w:rsidR="00D21F43" w:rsidRPr="00652304" w:rsidRDefault="00D21F43" w:rsidP="00D21F43">
            <w:pPr>
              <w:pStyle w:val="ListParagraph"/>
              <w:numPr>
                <w:ilvl w:val="0"/>
                <w:numId w:val="5"/>
              </w:numPr>
              <w:jc w:val="both"/>
              <w:rPr>
                <w:rFonts w:ascii="Arial" w:hAnsi="Arial" w:cs="Arial"/>
                <w:sz w:val="22"/>
                <w:szCs w:val="22"/>
              </w:rPr>
            </w:pPr>
            <w:r w:rsidRPr="00652304">
              <w:rPr>
                <w:rFonts w:ascii="Arial" w:hAnsi="Arial" w:cs="Arial"/>
                <w:sz w:val="22"/>
                <w:szCs w:val="22"/>
              </w:rPr>
              <w:t xml:space="preserve">Inappropriate referrals </w:t>
            </w:r>
          </w:p>
          <w:p w14:paraId="3977C28C" w14:textId="77777777" w:rsidR="00D21F43" w:rsidRPr="00652304" w:rsidRDefault="00D21F43" w:rsidP="00D21F43">
            <w:pPr>
              <w:pStyle w:val="ListParagraph"/>
              <w:numPr>
                <w:ilvl w:val="0"/>
                <w:numId w:val="4"/>
              </w:numPr>
              <w:jc w:val="both"/>
              <w:rPr>
                <w:rFonts w:ascii="Arial" w:hAnsi="Arial" w:cs="Arial"/>
                <w:sz w:val="22"/>
                <w:szCs w:val="22"/>
              </w:rPr>
            </w:pPr>
            <w:r w:rsidRPr="00652304">
              <w:rPr>
                <w:rFonts w:ascii="Arial" w:hAnsi="Arial" w:cs="Arial"/>
                <w:sz w:val="22"/>
                <w:szCs w:val="22"/>
              </w:rPr>
              <w:t xml:space="preserve">Client unaware of referral, and </w:t>
            </w:r>
          </w:p>
          <w:p w14:paraId="426F39B8" w14:textId="77777777" w:rsidR="00D21F43" w:rsidRPr="00652304" w:rsidRDefault="00D21F43" w:rsidP="00B8570E">
            <w:pPr>
              <w:pStyle w:val="ListParagraph"/>
              <w:numPr>
                <w:ilvl w:val="0"/>
                <w:numId w:val="4"/>
              </w:numPr>
              <w:jc w:val="both"/>
              <w:rPr>
                <w:rFonts w:ascii="Arial" w:hAnsi="Arial" w:cs="Arial"/>
                <w:sz w:val="22"/>
                <w:szCs w:val="22"/>
              </w:rPr>
            </w:pPr>
            <w:r w:rsidRPr="00652304">
              <w:rPr>
                <w:rFonts w:ascii="Arial" w:hAnsi="Arial" w:cs="Arial"/>
                <w:sz w:val="22"/>
                <w:szCs w:val="22"/>
              </w:rPr>
              <w:t xml:space="preserve">Treatment commencement declined by the client. </w:t>
            </w:r>
          </w:p>
        </w:tc>
      </w:tr>
      <w:tr w:rsidR="00D21F43" w:rsidRPr="00652304" w14:paraId="5DD20484" w14:textId="77777777" w:rsidTr="00361CD8">
        <w:tc>
          <w:tcPr>
            <w:tcW w:w="1721" w:type="dxa"/>
          </w:tcPr>
          <w:p w14:paraId="45DCAD08"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Data source</w:t>
            </w:r>
          </w:p>
        </w:tc>
        <w:tc>
          <w:tcPr>
            <w:tcW w:w="6801" w:type="dxa"/>
          </w:tcPr>
          <w:p w14:paraId="3DE6E452" w14:textId="77777777" w:rsidR="00D21F43" w:rsidRPr="00652304" w:rsidRDefault="00D21F43" w:rsidP="00B8570E">
            <w:pPr>
              <w:keepNext/>
              <w:keepLines/>
              <w:pBdr>
                <w:top w:val="single" w:sz="4" w:space="1" w:color="auto"/>
              </w:pBdr>
              <w:jc w:val="both"/>
              <w:outlineLvl w:val="0"/>
              <w:rPr>
                <w:rFonts w:ascii="Arial" w:hAnsi="Arial" w:cs="Arial"/>
                <w:sz w:val="22"/>
                <w:szCs w:val="22"/>
              </w:rPr>
            </w:pPr>
            <w:r w:rsidRPr="00652304">
              <w:rPr>
                <w:rFonts w:ascii="Arial" w:hAnsi="Arial" w:cs="Arial"/>
                <w:sz w:val="22"/>
                <w:szCs w:val="22"/>
              </w:rPr>
              <w:t xml:space="preserve">Welsh National Database for Substance Misuse will provide the raw data using modality start date and reason contact ended. </w:t>
            </w:r>
          </w:p>
        </w:tc>
      </w:tr>
      <w:tr w:rsidR="00972C9D" w:rsidRPr="00652304" w14:paraId="0411F39D" w14:textId="77777777" w:rsidTr="00361CD8">
        <w:tc>
          <w:tcPr>
            <w:tcW w:w="1721" w:type="dxa"/>
          </w:tcPr>
          <w:p w14:paraId="5D0416EA" w14:textId="77777777" w:rsidR="00972C9D" w:rsidRPr="00652304" w:rsidRDefault="00972C9D" w:rsidP="00361CD8">
            <w:pPr>
              <w:jc w:val="both"/>
              <w:rPr>
                <w:rFonts w:ascii="Arial" w:hAnsi="Arial" w:cs="Arial"/>
                <w:sz w:val="22"/>
                <w:szCs w:val="22"/>
              </w:rPr>
            </w:pPr>
            <w:r w:rsidRPr="00652304">
              <w:rPr>
                <w:rFonts w:ascii="Arial" w:hAnsi="Arial" w:cs="Arial"/>
                <w:sz w:val="22"/>
                <w:szCs w:val="22"/>
              </w:rPr>
              <w:t>Methodology</w:t>
            </w:r>
          </w:p>
        </w:tc>
        <w:tc>
          <w:tcPr>
            <w:tcW w:w="6801" w:type="dxa"/>
          </w:tcPr>
          <w:p w14:paraId="00EFFC7B" w14:textId="77777777" w:rsidR="00972C9D" w:rsidRPr="00652304" w:rsidRDefault="008321B4" w:rsidP="00361CD8">
            <w:pPr>
              <w:jc w:val="both"/>
              <w:rPr>
                <w:rFonts w:ascii="Arial" w:hAnsi="Arial" w:cs="Arial"/>
                <w:sz w:val="22"/>
                <w:szCs w:val="22"/>
              </w:rPr>
            </w:pPr>
            <w:r w:rsidRPr="00652304">
              <w:rPr>
                <w:rFonts w:ascii="Arial" w:hAnsi="Arial" w:cs="Arial"/>
                <w:sz w:val="22"/>
                <w:szCs w:val="22"/>
              </w:rPr>
              <w:t>Numerator = Clients with a discharge code of 01 Treatment completed – substance free or code 02 Treatment completed</w:t>
            </w:r>
          </w:p>
          <w:p w14:paraId="11B5BCA0" w14:textId="724C9347" w:rsidR="008321B4" w:rsidRPr="00652304" w:rsidRDefault="008321B4" w:rsidP="008321B4">
            <w:pPr>
              <w:jc w:val="both"/>
              <w:rPr>
                <w:rFonts w:ascii="Arial" w:hAnsi="Arial" w:cs="Arial"/>
                <w:sz w:val="22"/>
                <w:szCs w:val="22"/>
              </w:rPr>
            </w:pPr>
            <w:r w:rsidRPr="00652304">
              <w:rPr>
                <w:rFonts w:ascii="Arial" w:hAnsi="Arial" w:cs="Arial"/>
                <w:sz w:val="22"/>
                <w:szCs w:val="22"/>
              </w:rPr>
              <w:t xml:space="preserve">Denominator = All clients with a treatment date and discharged (excluding neutral cases of </w:t>
            </w:r>
            <w:r w:rsidRPr="00652304">
              <w:rPr>
                <w:rFonts w:ascii="Arial" w:hAnsi="Arial" w:cs="Arial"/>
                <w:color w:val="000000"/>
                <w:sz w:val="22"/>
                <w:szCs w:val="22"/>
                <w:lang w:val="en-US"/>
              </w:rPr>
              <w:t xml:space="preserve">Referred to another service, GP Led Prescribing, Moved, and Prison) and </w:t>
            </w:r>
            <w:r w:rsidR="00B67440" w:rsidRPr="00652304">
              <w:rPr>
                <w:rFonts w:ascii="Arial" w:hAnsi="Arial" w:cs="Arial"/>
                <w:sz w:val="22"/>
                <w:szCs w:val="22"/>
              </w:rPr>
              <w:t>inappropriate</w:t>
            </w:r>
            <w:r w:rsidRPr="00652304">
              <w:rPr>
                <w:rFonts w:ascii="Arial" w:hAnsi="Arial" w:cs="Arial"/>
                <w:sz w:val="22"/>
                <w:szCs w:val="22"/>
              </w:rPr>
              <w:t xml:space="preserve"> referral, client unaware of referral and treatment commencement declined by the client as these are unlikely to have a treatment date.</w:t>
            </w:r>
          </w:p>
        </w:tc>
      </w:tr>
      <w:tr w:rsidR="00D21F43" w:rsidRPr="00652304" w14:paraId="46AE44F7" w14:textId="77777777" w:rsidTr="00361CD8">
        <w:tc>
          <w:tcPr>
            <w:tcW w:w="1721" w:type="dxa"/>
          </w:tcPr>
          <w:p w14:paraId="3FBB7077"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Reporting </w:t>
            </w:r>
          </w:p>
          <w:p w14:paraId="14D65DB0"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Arrangements</w:t>
            </w:r>
          </w:p>
        </w:tc>
        <w:tc>
          <w:tcPr>
            <w:tcW w:w="6801" w:type="dxa"/>
          </w:tcPr>
          <w:p w14:paraId="7ED4D9A3"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It will be expected that each APB reports on both the number and percentage of cases closed as treatment completed when reporting against this KPI.</w:t>
            </w:r>
          </w:p>
        </w:tc>
      </w:tr>
    </w:tbl>
    <w:p w14:paraId="26989039" w14:textId="77777777" w:rsidR="00972C9D" w:rsidRDefault="00972C9D" w:rsidP="00D21F43">
      <w:pPr>
        <w:jc w:val="both"/>
        <w:rPr>
          <w:rFonts w:ascii="Arial" w:hAnsi="Arial" w:cs="Arial"/>
          <w:b/>
          <w:u w:val="single"/>
          <w:lang w:eastAsia="en-US"/>
        </w:rPr>
      </w:pPr>
    </w:p>
    <w:p w14:paraId="45E1A20A" w14:textId="77777777" w:rsidR="00972C9D" w:rsidRDefault="00972C9D" w:rsidP="00D21F43">
      <w:pPr>
        <w:jc w:val="both"/>
        <w:rPr>
          <w:rFonts w:ascii="Arial" w:hAnsi="Arial" w:cs="Arial"/>
          <w:b/>
          <w:u w:val="single"/>
          <w:lang w:eastAsia="en-US"/>
        </w:rPr>
      </w:pPr>
    </w:p>
    <w:p w14:paraId="7C123079" w14:textId="77777777" w:rsidR="00972C9D" w:rsidRDefault="00972C9D" w:rsidP="00D21F43">
      <w:pPr>
        <w:jc w:val="both"/>
        <w:rPr>
          <w:rFonts w:ascii="Arial" w:hAnsi="Arial" w:cs="Arial"/>
          <w:b/>
          <w:u w:val="single"/>
          <w:lang w:eastAsia="en-US"/>
        </w:rPr>
      </w:pPr>
    </w:p>
    <w:p w14:paraId="60DA7FCD" w14:textId="77777777" w:rsidR="00972C9D" w:rsidRDefault="00972C9D" w:rsidP="00D21F43">
      <w:pPr>
        <w:jc w:val="both"/>
        <w:rPr>
          <w:rFonts w:ascii="Arial" w:hAnsi="Arial" w:cs="Arial"/>
          <w:b/>
          <w:u w:val="single"/>
          <w:lang w:eastAsia="en-US"/>
        </w:rPr>
      </w:pPr>
    </w:p>
    <w:p w14:paraId="3965C067" w14:textId="77777777" w:rsidR="00972C9D" w:rsidRDefault="00972C9D" w:rsidP="00D21F43">
      <w:pPr>
        <w:jc w:val="both"/>
        <w:rPr>
          <w:rFonts w:ascii="Arial" w:hAnsi="Arial" w:cs="Arial"/>
          <w:b/>
          <w:u w:val="single"/>
          <w:lang w:eastAsia="en-US"/>
        </w:rPr>
      </w:pPr>
    </w:p>
    <w:p w14:paraId="0F92FC99" w14:textId="77777777" w:rsidR="00F613E0" w:rsidRDefault="00F613E0" w:rsidP="00D21F43">
      <w:pPr>
        <w:jc w:val="both"/>
        <w:rPr>
          <w:rFonts w:ascii="Arial" w:hAnsi="Arial" w:cs="Arial"/>
          <w:b/>
          <w:u w:val="single"/>
          <w:lang w:eastAsia="en-US"/>
        </w:rPr>
      </w:pPr>
    </w:p>
    <w:p w14:paraId="14F13082" w14:textId="77777777" w:rsidR="00F613E0" w:rsidRDefault="00F613E0" w:rsidP="00D21F43">
      <w:pPr>
        <w:jc w:val="both"/>
        <w:rPr>
          <w:rFonts w:ascii="Arial" w:hAnsi="Arial" w:cs="Arial"/>
          <w:b/>
          <w:u w:val="single"/>
          <w:lang w:eastAsia="en-US"/>
        </w:rPr>
      </w:pPr>
    </w:p>
    <w:p w14:paraId="03DEA42D" w14:textId="77777777" w:rsidR="00F613E0" w:rsidRDefault="00F613E0" w:rsidP="00D21F43">
      <w:pPr>
        <w:jc w:val="both"/>
        <w:rPr>
          <w:rFonts w:ascii="Arial" w:hAnsi="Arial" w:cs="Arial"/>
          <w:b/>
          <w:u w:val="single"/>
          <w:lang w:eastAsia="en-US"/>
        </w:rPr>
      </w:pPr>
    </w:p>
    <w:p w14:paraId="0F4D07A0" w14:textId="77777777" w:rsidR="00F613E0" w:rsidRDefault="00F613E0" w:rsidP="00D21F43">
      <w:pPr>
        <w:jc w:val="both"/>
        <w:rPr>
          <w:rFonts w:ascii="Arial" w:hAnsi="Arial" w:cs="Arial"/>
          <w:b/>
          <w:u w:val="single"/>
          <w:lang w:eastAsia="en-US"/>
        </w:rPr>
      </w:pPr>
    </w:p>
    <w:p w14:paraId="192A3E39" w14:textId="77777777" w:rsidR="00F613E0" w:rsidRDefault="00F613E0" w:rsidP="00D21F43">
      <w:pPr>
        <w:jc w:val="both"/>
        <w:rPr>
          <w:rFonts w:ascii="Arial" w:hAnsi="Arial" w:cs="Arial"/>
          <w:b/>
          <w:u w:val="single"/>
          <w:lang w:eastAsia="en-US"/>
        </w:rPr>
      </w:pPr>
    </w:p>
    <w:p w14:paraId="04A1D3EC" w14:textId="77777777" w:rsidR="00652304" w:rsidRDefault="00652304" w:rsidP="00D21F43">
      <w:pPr>
        <w:jc w:val="both"/>
        <w:rPr>
          <w:rFonts w:ascii="Arial" w:hAnsi="Arial" w:cs="Arial"/>
          <w:b/>
          <w:u w:val="single"/>
          <w:lang w:eastAsia="en-US"/>
        </w:rPr>
      </w:pPr>
    </w:p>
    <w:p w14:paraId="4F4BB596" w14:textId="77777777" w:rsidR="00652304" w:rsidRDefault="00652304" w:rsidP="00D21F43">
      <w:pPr>
        <w:jc w:val="both"/>
        <w:rPr>
          <w:rFonts w:ascii="Arial" w:hAnsi="Arial" w:cs="Arial"/>
          <w:b/>
          <w:u w:val="single"/>
          <w:lang w:eastAsia="en-US"/>
        </w:rPr>
      </w:pPr>
    </w:p>
    <w:p w14:paraId="268225D1" w14:textId="77777777" w:rsidR="00652304" w:rsidRDefault="00652304" w:rsidP="00D21F43">
      <w:pPr>
        <w:jc w:val="both"/>
        <w:rPr>
          <w:rFonts w:ascii="Arial" w:hAnsi="Arial" w:cs="Arial"/>
          <w:b/>
          <w:u w:val="single"/>
          <w:lang w:eastAsia="en-US"/>
        </w:rPr>
      </w:pPr>
    </w:p>
    <w:p w14:paraId="69F19319" w14:textId="77777777" w:rsidR="00652304" w:rsidRDefault="00652304" w:rsidP="00D21F43">
      <w:pPr>
        <w:jc w:val="both"/>
        <w:rPr>
          <w:rFonts w:ascii="Arial" w:hAnsi="Arial" w:cs="Arial"/>
          <w:b/>
          <w:u w:val="single"/>
          <w:lang w:eastAsia="en-US"/>
        </w:rPr>
      </w:pPr>
    </w:p>
    <w:p w14:paraId="73A50D8E" w14:textId="77777777" w:rsidR="00652304" w:rsidRDefault="00652304" w:rsidP="00D21F43">
      <w:pPr>
        <w:jc w:val="both"/>
        <w:rPr>
          <w:rFonts w:ascii="Arial" w:hAnsi="Arial" w:cs="Arial"/>
          <w:b/>
          <w:u w:val="single"/>
          <w:lang w:eastAsia="en-US"/>
        </w:rPr>
      </w:pPr>
    </w:p>
    <w:p w14:paraId="1E05FADF" w14:textId="77777777" w:rsidR="00652304" w:rsidRDefault="00652304" w:rsidP="00D21F43">
      <w:pPr>
        <w:jc w:val="both"/>
        <w:rPr>
          <w:rFonts w:ascii="Arial" w:hAnsi="Arial" w:cs="Arial"/>
          <w:b/>
          <w:u w:val="single"/>
          <w:lang w:eastAsia="en-US"/>
        </w:rPr>
      </w:pPr>
    </w:p>
    <w:p w14:paraId="66760145" w14:textId="77777777" w:rsidR="00652304" w:rsidRDefault="00652304" w:rsidP="00D21F43">
      <w:pPr>
        <w:jc w:val="both"/>
        <w:rPr>
          <w:rFonts w:ascii="Arial" w:hAnsi="Arial" w:cs="Arial"/>
          <w:b/>
          <w:u w:val="single"/>
          <w:lang w:eastAsia="en-US"/>
        </w:rPr>
      </w:pPr>
    </w:p>
    <w:p w14:paraId="581BA01D" w14:textId="77777777" w:rsidR="00D21F43" w:rsidRPr="007F3E6D" w:rsidRDefault="00D21F43" w:rsidP="00D21F43">
      <w:pPr>
        <w:jc w:val="both"/>
        <w:rPr>
          <w:rFonts w:ascii="Arial" w:hAnsi="Arial" w:cs="Arial"/>
          <w:b/>
          <w:u w:val="single"/>
          <w:lang w:eastAsia="en-US"/>
        </w:rPr>
      </w:pPr>
      <w:r w:rsidRPr="007F3E6D">
        <w:rPr>
          <w:rFonts w:ascii="Arial" w:hAnsi="Arial" w:cs="Arial"/>
          <w:b/>
          <w:u w:val="single"/>
          <w:lang w:eastAsia="en-US"/>
        </w:rPr>
        <w:lastRenderedPageBreak/>
        <w:t>4.0 Reporting Requirements</w:t>
      </w:r>
    </w:p>
    <w:p w14:paraId="36DA4F87" w14:textId="77777777" w:rsidR="00D21F43" w:rsidRPr="007F3E6D" w:rsidRDefault="00D21F43" w:rsidP="00D21F43">
      <w:pPr>
        <w:jc w:val="both"/>
        <w:rPr>
          <w:rFonts w:ascii="Arial" w:hAnsi="Arial" w:cs="Arial"/>
          <w:b/>
          <w:u w:val="single"/>
          <w:lang w:eastAsia="en-US"/>
        </w:rPr>
      </w:pPr>
    </w:p>
    <w:p w14:paraId="7029C375" w14:textId="77777777" w:rsidR="00D21F43" w:rsidRPr="00652304" w:rsidRDefault="00D21F43" w:rsidP="00D21F43">
      <w:pPr>
        <w:jc w:val="both"/>
        <w:rPr>
          <w:rFonts w:ascii="Arial" w:hAnsi="Arial" w:cs="Arial"/>
          <w:sz w:val="22"/>
          <w:szCs w:val="22"/>
        </w:rPr>
      </w:pPr>
      <w:r w:rsidRPr="00652304">
        <w:rPr>
          <w:rFonts w:ascii="Arial" w:hAnsi="Arial" w:cs="Arial"/>
          <w:sz w:val="22"/>
          <w:szCs w:val="22"/>
        </w:rPr>
        <w:t xml:space="preserve">It is expected that APBs will monitor progress against service provider reports on a monthly basis; this duty will normally be discharged to a performance management sub group (or equivalent) of the APB. </w:t>
      </w:r>
    </w:p>
    <w:p w14:paraId="0D3C6268" w14:textId="77777777" w:rsidR="00D21F43" w:rsidRPr="00652304" w:rsidRDefault="00D21F43" w:rsidP="00D21F43">
      <w:pPr>
        <w:jc w:val="both"/>
        <w:rPr>
          <w:rFonts w:ascii="Arial" w:hAnsi="Arial" w:cs="Arial"/>
          <w:sz w:val="22"/>
          <w:szCs w:val="22"/>
        </w:rPr>
      </w:pPr>
    </w:p>
    <w:p w14:paraId="6097EFD8" w14:textId="77777777" w:rsidR="00D21F43" w:rsidRPr="00652304" w:rsidRDefault="00D21F43" w:rsidP="00D21F43">
      <w:pPr>
        <w:widowControl w:val="0"/>
        <w:autoSpaceDE w:val="0"/>
        <w:autoSpaceDN w:val="0"/>
        <w:adjustRightInd w:val="0"/>
        <w:jc w:val="both"/>
        <w:rPr>
          <w:rFonts w:ascii="Arial" w:hAnsi="Arial" w:cs="Arial"/>
          <w:sz w:val="22"/>
          <w:szCs w:val="22"/>
        </w:rPr>
      </w:pPr>
      <w:r w:rsidRPr="00652304">
        <w:rPr>
          <w:rFonts w:ascii="Arial" w:hAnsi="Arial" w:cs="Arial"/>
          <w:sz w:val="22"/>
          <w:szCs w:val="22"/>
        </w:rPr>
        <w:t xml:space="preserve">From a national perspective the Key Performance Indicators will also be monitored through the established APB Chairs and via the Welsh Government Substance Misuse Advisory Regional Teams (SMARTs) through the formal collation of the </w:t>
      </w:r>
      <w:r w:rsidR="00972C9D" w:rsidRPr="00652304">
        <w:rPr>
          <w:rFonts w:ascii="Arial" w:hAnsi="Arial" w:cs="Arial"/>
          <w:sz w:val="22"/>
          <w:szCs w:val="22"/>
        </w:rPr>
        <w:t>KPIs.</w:t>
      </w:r>
    </w:p>
    <w:p w14:paraId="3FD916EC" w14:textId="77777777" w:rsidR="00D21F43" w:rsidRPr="00652304" w:rsidRDefault="00D21F43" w:rsidP="00D21F43">
      <w:pPr>
        <w:widowControl w:val="0"/>
        <w:autoSpaceDE w:val="0"/>
        <w:autoSpaceDN w:val="0"/>
        <w:adjustRightInd w:val="0"/>
        <w:jc w:val="both"/>
        <w:rPr>
          <w:rFonts w:ascii="Arial" w:eastAsiaTheme="minorHAnsi" w:hAnsi="Arial" w:cs="Arial"/>
          <w:sz w:val="22"/>
          <w:szCs w:val="22"/>
          <w:lang w:eastAsia="en-US"/>
        </w:rPr>
      </w:pPr>
    </w:p>
    <w:p w14:paraId="06513354" w14:textId="77777777" w:rsidR="00D21F43" w:rsidRPr="00652304" w:rsidRDefault="00D21F43" w:rsidP="00D21F43">
      <w:pPr>
        <w:rPr>
          <w:rFonts w:ascii="Arial" w:hAnsi="Arial" w:cs="Arial"/>
          <w:sz w:val="22"/>
          <w:szCs w:val="22"/>
        </w:rPr>
      </w:pPr>
      <w:r w:rsidRPr="00652304">
        <w:rPr>
          <w:rFonts w:ascii="Arial" w:hAnsi="Arial" w:cs="Arial"/>
          <w:sz w:val="22"/>
          <w:szCs w:val="22"/>
        </w:rPr>
        <w:t xml:space="preserve">‘RAG’ statuses have now been set against each KPI. These are listed below for information. </w:t>
      </w:r>
    </w:p>
    <w:p w14:paraId="742ADDF3" w14:textId="77777777" w:rsidR="00D21F43" w:rsidRDefault="00D21F43" w:rsidP="00D21F43">
      <w:pPr>
        <w:rPr>
          <w:rFonts w:ascii="Arial" w:hAnsi="Arial" w:cs="Arial"/>
        </w:rPr>
      </w:pPr>
    </w:p>
    <w:tbl>
      <w:tblPr>
        <w:tblStyle w:val="TableGrid"/>
        <w:tblW w:w="0" w:type="auto"/>
        <w:tblLook w:val="04A0" w:firstRow="1" w:lastRow="0" w:firstColumn="1" w:lastColumn="0" w:noHBand="0" w:noVBand="1"/>
      </w:tblPr>
      <w:tblGrid>
        <w:gridCol w:w="2881"/>
        <w:gridCol w:w="5415"/>
      </w:tblGrid>
      <w:tr w:rsidR="00D21F43" w:rsidRPr="00652304" w14:paraId="7238D382" w14:textId="77777777" w:rsidTr="00361CD8">
        <w:tc>
          <w:tcPr>
            <w:tcW w:w="2943" w:type="dxa"/>
          </w:tcPr>
          <w:p w14:paraId="2B91BB93" w14:textId="77777777" w:rsidR="00D21F43" w:rsidRPr="00652304" w:rsidRDefault="00D21F43" w:rsidP="00361CD8">
            <w:pPr>
              <w:rPr>
                <w:rFonts w:ascii="Arial" w:hAnsi="Arial" w:cs="Arial"/>
                <w:b/>
                <w:sz w:val="22"/>
                <w:szCs w:val="22"/>
              </w:rPr>
            </w:pPr>
            <w:r w:rsidRPr="00652304">
              <w:rPr>
                <w:rFonts w:ascii="Arial" w:hAnsi="Arial" w:cs="Arial"/>
                <w:b/>
                <w:sz w:val="22"/>
                <w:szCs w:val="22"/>
              </w:rPr>
              <w:t>KPI</w:t>
            </w:r>
          </w:p>
        </w:tc>
        <w:tc>
          <w:tcPr>
            <w:tcW w:w="5579" w:type="dxa"/>
          </w:tcPr>
          <w:p w14:paraId="10D5B977" w14:textId="77777777" w:rsidR="00D21F43" w:rsidRPr="00652304" w:rsidRDefault="00D21F43" w:rsidP="00361CD8">
            <w:pPr>
              <w:rPr>
                <w:rFonts w:ascii="Arial" w:hAnsi="Arial" w:cs="Arial"/>
                <w:b/>
                <w:sz w:val="22"/>
                <w:szCs w:val="22"/>
              </w:rPr>
            </w:pPr>
            <w:r w:rsidRPr="00652304">
              <w:rPr>
                <w:rFonts w:ascii="Arial" w:hAnsi="Arial" w:cs="Arial"/>
                <w:b/>
                <w:sz w:val="22"/>
                <w:szCs w:val="22"/>
              </w:rPr>
              <w:t>Target / benchmarks</w:t>
            </w:r>
          </w:p>
        </w:tc>
      </w:tr>
      <w:tr w:rsidR="00D21F43" w:rsidRPr="00652304" w14:paraId="7D6F6302" w14:textId="77777777" w:rsidTr="00361CD8">
        <w:tc>
          <w:tcPr>
            <w:tcW w:w="2943" w:type="dxa"/>
          </w:tcPr>
          <w:p w14:paraId="091714CC"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1 - Increase number of clients engaging. </w:t>
            </w:r>
          </w:p>
        </w:tc>
        <w:tc>
          <w:tcPr>
            <w:tcW w:w="5579" w:type="dxa"/>
          </w:tcPr>
          <w:p w14:paraId="55857F3E"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Red ≥ 30%, Amber 20.1 - 29.9%, Green ≤ 20%</w:t>
            </w:r>
          </w:p>
        </w:tc>
      </w:tr>
      <w:tr w:rsidR="00D21F43" w:rsidRPr="00652304" w14:paraId="27C3C31C" w14:textId="77777777" w:rsidTr="00361CD8">
        <w:tc>
          <w:tcPr>
            <w:tcW w:w="2943" w:type="dxa"/>
          </w:tcPr>
          <w:p w14:paraId="35363CBD"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2 - Waiting times from referral to treatment. </w:t>
            </w:r>
          </w:p>
        </w:tc>
        <w:tc>
          <w:tcPr>
            <w:tcW w:w="5579" w:type="dxa"/>
          </w:tcPr>
          <w:p w14:paraId="7CC4DF9F"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Red ≤70%, Amber 70.1 – 79.9%, Green ≥ 80%</w:t>
            </w:r>
          </w:p>
        </w:tc>
      </w:tr>
      <w:tr w:rsidR="00D21F43" w:rsidRPr="00652304" w14:paraId="6DCFC834" w14:textId="77777777" w:rsidTr="00361CD8">
        <w:tc>
          <w:tcPr>
            <w:tcW w:w="2943" w:type="dxa"/>
          </w:tcPr>
          <w:p w14:paraId="1C20D5D3"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3 - Substance misuse is reduced for problematic substances. </w:t>
            </w:r>
          </w:p>
        </w:tc>
        <w:tc>
          <w:tcPr>
            <w:tcW w:w="5579" w:type="dxa"/>
          </w:tcPr>
          <w:p w14:paraId="32B7D286" w14:textId="539194BA"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Achievement to show continual improvement against own baseline and adherence to the Welsh benchmark figure </w:t>
            </w:r>
            <w:r w:rsidR="006F4073">
              <w:rPr>
                <w:rFonts w:ascii="Arial" w:hAnsi="Arial" w:cs="Arial"/>
                <w:sz w:val="22"/>
                <w:szCs w:val="22"/>
              </w:rPr>
              <w:t>of 86.5%</w:t>
            </w:r>
          </w:p>
          <w:p w14:paraId="51143479" w14:textId="77777777" w:rsidR="00D21F43" w:rsidRPr="00652304" w:rsidRDefault="00D21F43" w:rsidP="00361CD8">
            <w:pPr>
              <w:jc w:val="both"/>
              <w:rPr>
                <w:rFonts w:ascii="Arial" w:hAnsi="Arial" w:cs="Arial"/>
                <w:sz w:val="22"/>
                <w:szCs w:val="22"/>
              </w:rPr>
            </w:pPr>
          </w:p>
          <w:p w14:paraId="0F2DDEFA" w14:textId="77777777" w:rsidR="00D21F43" w:rsidRPr="00652304" w:rsidRDefault="00D21F43" w:rsidP="004F48EE">
            <w:pPr>
              <w:jc w:val="both"/>
              <w:rPr>
                <w:rFonts w:ascii="Arial" w:hAnsi="Arial" w:cs="Arial"/>
                <w:sz w:val="22"/>
                <w:szCs w:val="22"/>
              </w:rPr>
            </w:pPr>
            <w:r w:rsidRPr="00652304">
              <w:rPr>
                <w:rFonts w:ascii="Arial" w:hAnsi="Arial" w:cs="Arial"/>
                <w:sz w:val="22"/>
                <w:szCs w:val="22"/>
              </w:rPr>
              <w:t>RAG ratings based according to movement against the established baseline (red &lt; baseline; amber &lt; baseline but an improving picture; green &gt;</w:t>
            </w:r>
            <w:r w:rsidR="00972C9D" w:rsidRPr="00652304">
              <w:rPr>
                <w:rFonts w:ascii="Arial" w:hAnsi="Arial" w:cs="Arial"/>
                <w:sz w:val="22"/>
                <w:szCs w:val="22"/>
              </w:rPr>
              <w:t>=</w:t>
            </w:r>
            <w:r w:rsidRPr="00652304">
              <w:rPr>
                <w:rFonts w:ascii="Arial" w:hAnsi="Arial" w:cs="Arial"/>
                <w:sz w:val="22"/>
                <w:szCs w:val="22"/>
              </w:rPr>
              <w:t xml:space="preserve"> baseline). </w:t>
            </w:r>
          </w:p>
        </w:tc>
      </w:tr>
      <w:tr w:rsidR="00D21F43" w:rsidRPr="00652304" w14:paraId="7ED401DF" w14:textId="77777777" w:rsidTr="00361CD8">
        <w:tc>
          <w:tcPr>
            <w:tcW w:w="2943" w:type="dxa"/>
          </w:tcPr>
          <w:p w14:paraId="5740533F"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4 - Quality of Life improved. </w:t>
            </w:r>
          </w:p>
        </w:tc>
        <w:tc>
          <w:tcPr>
            <w:tcW w:w="5579" w:type="dxa"/>
          </w:tcPr>
          <w:p w14:paraId="59C68881" w14:textId="7BAFA4F5"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Achievement to show continual improvement against own baseline and adherence to the Welsh benchmark figure </w:t>
            </w:r>
            <w:r w:rsidR="006F4073">
              <w:rPr>
                <w:rFonts w:ascii="Arial" w:hAnsi="Arial" w:cs="Arial"/>
                <w:sz w:val="22"/>
                <w:szCs w:val="22"/>
              </w:rPr>
              <w:t>of 84.2%</w:t>
            </w:r>
          </w:p>
          <w:p w14:paraId="306F96EE" w14:textId="77777777" w:rsidR="00D21F43" w:rsidRPr="00652304" w:rsidRDefault="00D21F43" w:rsidP="00361CD8">
            <w:pPr>
              <w:jc w:val="both"/>
              <w:rPr>
                <w:rFonts w:ascii="Arial" w:hAnsi="Arial" w:cs="Arial"/>
                <w:sz w:val="22"/>
                <w:szCs w:val="22"/>
              </w:rPr>
            </w:pPr>
          </w:p>
          <w:p w14:paraId="43FDE8AD" w14:textId="77777777" w:rsidR="00D21F43" w:rsidRPr="00652304" w:rsidRDefault="00D21F43" w:rsidP="004F48EE">
            <w:pPr>
              <w:jc w:val="both"/>
              <w:rPr>
                <w:rFonts w:ascii="Arial" w:hAnsi="Arial" w:cs="Arial"/>
                <w:sz w:val="22"/>
                <w:szCs w:val="22"/>
              </w:rPr>
            </w:pPr>
            <w:r w:rsidRPr="00652304">
              <w:rPr>
                <w:rFonts w:ascii="Arial" w:hAnsi="Arial" w:cs="Arial"/>
                <w:sz w:val="22"/>
                <w:szCs w:val="22"/>
              </w:rPr>
              <w:t>RAG ratings based according to movement against the established baseline (red &lt; baseline; amber &lt; baseline but an improving picture; green &gt;</w:t>
            </w:r>
            <w:r w:rsidR="00972C9D" w:rsidRPr="00652304">
              <w:rPr>
                <w:rFonts w:ascii="Arial" w:hAnsi="Arial" w:cs="Arial"/>
                <w:sz w:val="22"/>
                <w:szCs w:val="22"/>
              </w:rPr>
              <w:t>=</w:t>
            </w:r>
            <w:r w:rsidRPr="00652304">
              <w:rPr>
                <w:rFonts w:ascii="Arial" w:hAnsi="Arial" w:cs="Arial"/>
                <w:sz w:val="22"/>
                <w:szCs w:val="22"/>
              </w:rPr>
              <w:t xml:space="preserve"> baseline). </w:t>
            </w:r>
          </w:p>
        </w:tc>
      </w:tr>
      <w:tr w:rsidR="00D21F43" w:rsidRPr="00652304" w14:paraId="55146D24" w14:textId="77777777" w:rsidTr="00361CD8">
        <w:tc>
          <w:tcPr>
            <w:tcW w:w="2943" w:type="dxa"/>
          </w:tcPr>
          <w:p w14:paraId="2658BDBA" w14:textId="77777777" w:rsidR="00D21F43" w:rsidRPr="00652304" w:rsidRDefault="00D21F43" w:rsidP="00361CD8">
            <w:pPr>
              <w:jc w:val="both"/>
              <w:rPr>
                <w:rFonts w:ascii="Arial" w:hAnsi="Arial" w:cs="Arial"/>
                <w:sz w:val="22"/>
                <w:szCs w:val="22"/>
              </w:rPr>
            </w:pPr>
            <w:r w:rsidRPr="00652304">
              <w:rPr>
                <w:rFonts w:ascii="Arial" w:hAnsi="Arial" w:cs="Arial"/>
                <w:sz w:val="22"/>
                <w:szCs w:val="22"/>
              </w:rPr>
              <w:t>5 - Increased number of ‘treatment completed’ closures.</w:t>
            </w:r>
          </w:p>
        </w:tc>
        <w:tc>
          <w:tcPr>
            <w:tcW w:w="5579" w:type="dxa"/>
          </w:tcPr>
          <w:p w14:paraId="357349D5" w14:textId="23921A96" w:rsidR="00D21F43" w:rsidRPr="00652304" w:rsidRDefault="00D21F43" w:rsidP="00361CD8">
            <w:pPr>
              <w:jc w:val="both"/>
              <w:rPr>
                <w:rFonts w:ascii="Arial" w:hAnsi="Arial" w:cs="Arial"/>
                <w:sz w:val="22"/>
                <w:szCs w:val="22"/>
              </w:rPr>
            </w:pPr>
            <w:r w:rsidRPr="00652304">
              <w:rPr>
                <w:rFonts w:ascii="Arial" w:hAnsi="Arial" w:cs="Arial"/>
                <w:sz w:val="22"/>
                <w:szCs w:val="22"/>
              </w:rPr>
              <w:t xml:space="preserve">Achievement to show continual improvement against own baseline and adherence to the Welsh benchmark figure </w:t>
            </w:r>
            <w:r w:rsidR="006F4073">
              <w:rPr>
                <w:rFonts w:ascii="Arial" w:hAnsi="Arial" w:cs="Arial"/>
                <w:sz w:val="22"/>
                <w:szCs w:val="22"/>
              </w:rPr>
              <w:t>of 76.9%</w:t>
            </w:r>
          </w:p>
          <w:p w14:paraId="22E4523D" w14:textId="77777777" w:rsidR="00D21F43" w:rsidRPr="00652304" w:rsidRDefault="00D21F43" w:rsidP="00361CD8">
            <w:pPr>
              <w:jc w:val="both"/>
              <w:rPr>
                <w:rFonts w:ascii="Arial" w:hAnsi="Arial" w:cs="Arial"/>
                <w:sz w:val="22"/>
                <w:szCs w:val="22"/>
              </w:rPr>
            </w:pPr>
          </w:p>
          <w:p w14:paraId="2C33AA2E" w14:textId="77777777" w:rsidR="00D21F43" w:rsidRPr="00652304" w:rsidRDefault="00D21F43" w:rsidP="004F48EE">
            <w:pPr>
              <w:jc w:val="both"/>
              <w:rPr>
                <w:rFonts w:ascii="Arial" w:hAnsi="Arial" w:cs="Arial"/>
                <w:sz w:val="22"/>
                <w:szCs w:val="22"/>
              </w:rPr>
            </w:pPr>
            <w:r w:rsidRPr="00652304">
              <w:rPr>
                <w:rFonts w:ascii="Arial" w:hAnsi="Arial" w:cs="Arial"/>
                <w:sz w:val="22"/>
                <w:szCs w:val="22"/>
              </w:rPr>
              <w:t>RAG ratings based according to movement against the established baseline (red &lt; baseline; amber &lt;baseline but an improving picture; green &gt;</w:t>
            </w:r>
            <w:r w:rsidR="00972C9D" w:rsidRPr="00652304">
              <w:rPr>
                <w:rFonts w:ascii="Arial" w:hAnsi="Arial" w:cs="Arial"/>
                <w:sz w:val="22"/>
                <w:szCs w:val="22"/>
              </w:rPr>
              <w:t>=</w:t>
            </w:r>
            <w:r w:rsidRPr="00652304">
              <w:rPr>
                <w:rFonts w:ascii="Arial" w:hAnsi="Arial" w:cs="Arial"/>
                <w:sz w:val="22"/>
                <w:szCs w:val="22"/>
              </w:rPr>
              <w:t xml:space="preserve"> baseline). </w:t>
            </w:r>
          </w:p>
        </w:tc>
      </w:tr>
    </w:tbl>
    <w:p w14:paraId="0BABF465" w14:textId="77777777" w:rsidR="00D21F43" w:rsidRPr="007F3E6D" w:rsidRDefault="00D21F43" w:rsidP="00D21F43">
      <w:pPr>
        <w:jc w:val="both"/>
        <w:rPr>
          <w:rFonts w:ascii="Arial" w:hAnsi="Arial" w:cs="Arial"/>
        </w:rPr>
      </w:pPr>
    </w:p>
    <w:p w14:paraId="5ECB72E6" w14:textId="77777777" w:rsidR="00E8505D" w:rsidRDefault="00E8505D"/>
    <w:sectPr w:rsidR="00E8505D" w:rsidSect="00566FC2">
      <w:footerReference w:type="default" r:id="rId10"/>
      <w:pgSz w:w="11906" w:h="16838"/>
      <w:pgMar w:top="360" w:right="1800" w:bottom="719"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FB677" w14:textId="77777777" w:rsidR="00566FC2" w:rsidRDefault="00566FC2" w:rsidP="00566FC2">
      <w:r>
        <w:separator/>
      </w:r>
    </w:p>
  </w:endnote>
  <w:endnote w:type="continuationSeparator" w:id="0">
    <w:p w14:paraId="6AF9D0AA" w14:textId="77777777" w:rsidR="00566FC2" w:rsidRDefault="00566FC2" w:rsidP="0056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182343"/>
      <w:docPartObj>
        <w:docPartGallery w:val="Page Numbers (Bottom of Page)"/>
        <w:docPartUnique/>
      </w:docPartObj>
    </w:sdtPr>
    <w:sdtEndPr>
      <w:rPr>
        <w:color w:val="808080" w:themeColor="background1" w:themeShade="80"/>
        <w:spacing w:val="60"/>
      </w:rPr>
    </w:sdtEndPr>
    <w:sdtContent>
      <w:p w14:paraId="485AB0C5" w14:textId="7191186A" w:rsidR="00566FC2" w:rsidRDefault="00566F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1B88">
          <w:rPr>
            <w:noProof/>
          </w:rPr>
          <w:t>1</w:t>
        </w:r>
        <w:r>
          <w:rPr>
            <w:noProof/>
          </w:rPr>
          <w:fldChar w:fldCharType="end"/>
        </w:r>
        <w:r>
          <w:t xml:space="preserve"> | </w:t>
        </w:r>
        <w:r>
          <w:rPr>
            <w:color w:val="808080" w:themeColor="background1" w:themeShade="80"/>
            <w:spacing w:val="60"/>
          </w:rPr>
          <w:t>Page</w:t>
        </w:r>
      </w:p>
    </w:sdtContent>
  </w:sdt>
  <w:p w14:paraId="5A3C52ED" w14:textId="77777777" w:rsidR="00A9406B" w:rsidRDefault="000C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EB43C" w14:textId="77777777" w:rsidR="00566FC2" w:rsidRDefault="00566FC2" w:rsidP="00566FC2">
      <w:r>
        <w:separator/>
      </w:r>
    </w:p>
  </w:footnote>
  <w:footnote w:type="continuationSeparator" w:id="0">
    <w:p w14:paraId="63A31CC2" w14:textId="77777777" w:rsidR="00566FC2" w:rsidRDefault="00566FC2" w:rsidP="00566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8FE"/>
    <w:multiLevelType w:val="hybridMultilevel"/>
    <w:tmpl w:val="E6B8A99C"/>
    <w:lvl w:ilvl="0" w:tplc="737A7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682D"/>
    <w:multiLevelType w:val="hybridMultilevel"/>
    <w:tmpl w:val="3940C27C"/>
    <w:lvl w:ilvl="0" w:tplc="A990710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53942"/>
    <w:multiLevelType w:val="hybridMultilevel"/>
    <w:tmpl w:val="CC06AEE8"/>
    <w:lvl w:ilvl="0" w:tplc="737A7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07856"/>
    <w:multiLevelType w:val="hybridMultilevel"/>
    <w:tmpl w:val="76A8A6DA"/>
    <w:lvl w:ilvl="0" w:tplc="737A7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76DC4"/>
    <w:multiLevelType w:val="hybridMultilevel"/>
    <w:tmpl w:val="A77A86D0"/>
    <w:lvl w:ilvl="0" w:tplc="737A7A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43"/>
    <w:rsid w:val="000C1B88"/>
    <w:rsid w:val="00175690"/>
    <w:rsid w:val="002C0568"/>
    <w:rsid w:val="00356175"/>
    <w:rsid w:val="003A1949"/>
    <w:rsid w:val="00443D2E"/>
    <w:rsid w:val="00452484"/>
    <w:rsid w:val="00466F5E"/>
    <w:rsid w:val="00493B49"/>
    <w:rsid w:val="004F48EE"/>
    <w:rsid w:val="005016F2"/>
    <w:rsid w:val="005108E5"/>
    <w:rsid w:val="00566FC2"/>
    <w:rsid w:val="005A0848"/>
    <w:rsid w:val="00652304"/>
    <w:rsid w:val="006D593A"/>
    <w:rsid w:val="006F4073"/>
    <w:rsid w:val="00702AD6"/>
    <w:rsid w:val="008321B4"/>
    <w:rsid w:val="008418D1"/>
    <w:rsid w:val="00860AFA"/>
    <w:rsid w:val="00972C9D"/>
    <w:rsid w:val="009F4171"/>
    <w:rsid w:val="00A02099"/>
    <w:rsid w:val="00A92397"/>
    <w:rsid w:val="00AC1F1E"/>
    <w:rsid w:val="00B14324"/>
    <w:rsid w:val="00B67440"/>
    <w:rsid w:val="00B8570E"/>
    <w:rsid w:val="00BA4FEF"/>
    <w:rsid w:val="00CC5A91"/>
    <w:rsid w:val="00CE6E63"/>
    <w:rsid w:val="00D21F43"/>
    <w:rsid w:val="00D84B71"/>
    <w:rsid w:val="00DA317F"/>
    <w:rsid w:val="00DD4114"/>
    <w:rsid w:val="00E8505D"/>
    <w:rsid w:val="00EA380C"/>
    <w:rsid w:val="00F613E0"/>
    <w:rsid w:val="00FA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0B84F3"/>
  <w15:docId w15:val="{27D84FAB-9A7A-4C08-B491-06CCBA9A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1F43"/>
    <w:pPr>
      <w:tabs>
        <w:tab w:val="center" w:pos="4513"/>
        <w:tab w:val="right" w:pos="9026"/>
      </w:tabs>
    </w:pPr>
  </w:style>
  <w:style w:type="character" w:customStyle="1" w:styleId="HeaderChar">
    <w:name w:val="Header Char"/>
    <w:basedOn w:val="DefaultParagraphFont"/>
    <w:link w:val="Header"/>
    <w:rsid w:val="00D21F43"/>
    <w:rPr>
      <w:sz w:val="24"/>
      <w:szCs w:val="24"/>
    </w:rPr>
  </w:style>
  <w:style w:type="paragraph" w:styleId="Footer">
    <w:name w:val="footer"/>
    <w:basedOn w:val="Normal"/>
    <w:link w:val="FooterChar"/>
    <w:uiPriority w:val="99"/>
    <w:rsid w:val="00D21F43"/>
    <w:pPr>
      <w:tabs>
        <w:tab w:val="center" w:pos="4513"/>
        <w:tab w:val="right" w:pos="9026"/>
      </w:tabs>
    </w:pPr>
  </w:style>
  <w:style w:type="character" w:customStyle="1" w:styleId="FooterChar">
    <w:name w:val="Footer Char"/>
    <w:basedOn w:val="DefaultParagraphFont"/>
    <w:link w:val="Footer"/>
    <w:uiPriority w:val="99"/>
    <w:rsid w:val="00D21F43"/>
    <w:rPr>
      <w:sz w:val="24"/>
      <w:szCs w:val="24"/>
    </w:rPr>
  </w:style>
  <w:style w:type="table" w:styleId="TableGrid">
    <w:name w:val="Table Grid"/>
    <w:basedOn w:val="TableNormal"/>
    <w:rsid w:val="00D2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2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F43"/>
    <w:pPr>
      <w:ind w:left="720"/>
      <w:contextualSpacing/>
    </w:pPr>
  </w:style>
  <w:style w:type="paragraph" w:styleId="BalloonText">
    <w:name w:val="Balloon Text"/>
    <w:basedOn w:val="Normal"/>
    <w:link w:val="BalloonTextChar"/>
    <w:rsid w:val="00D21F43"/>
    <w:rPr>
      <w:rFonts w:ascii="Tahoma" w:hAnsi="Tahoma" w:cs="Tahoma"/>
      <w:sz w:val="16"/>
      <w:szCs w:val="16"/>
    </w:rPr>
  </w:style>
  <w:style w:type="character" w:customStyle="1" w:styleId="BalloonTextChar">
    <w:name w:val="Balloon Text Char"/>
    <w:basedOn w:val="DefaultParagraphFont"/>
    <w:link w:val="BalloonText"/>
    <w:rsid w:val="00D21F43"/>
    <w:rPr>
      <w:rFonts w:ascii="Tahoma" w:hAnsi="Tahoma" w:cs="Tahoma"/>
      <w:sz w:val="16"/>
      <w:szCs w:val="16"/>
    </w:rPr>
  </w:style>
  <w:style w:type="character" w:styleId="CommentReference">
    <w:name w:val="annotation reference"/>
    <w:basedOn w:val="DefaultParagraphFont"/>
    <w:semiHidden/>
    <w:unhideWhenUsed/>
    <w:rsid w:val="004F48EE"/>
    <w:rPr>
      <w:sz w:val="16"/>
      <w:szCs w:val="16"/>
    </w:rPr>
  </w:style>
  <w:style w:type="paragraph" w:styleId="CommentText">
    <w:name w:val="annotation text"/>
    <w:basedOn w:val="Normal"/>
    <w:link w:val="CommentTextChar"/>
    <w:semiHidden/>
    <w:unhideWhenUsed/>
    <w:rsid w:val="004F48EE"/>
    <w:rPr>
      <w:sz w:val="20"/>
      <w:szCs w:val="20"/>
    </w:rPr>
  </w:style>
  <w:style w:type="character" w:customStyle="1" w:styleId="CommentTextChar">
    <w:name w:val="Comment Text Char"/>
    <w:basedOn w:val="DefaultParagraphFont"/>
    <w:link w:val="CommentText"/>
    <w:semiHidden/>
    <w:rsid w:val="004F48EE"/>
  </w:style>
  <w:style w:type="paragraph" w:styleId="CommentSubject">
    <w:name w:val="annotation subject"/>
    <w:basedOn w:val="CommentText"/>
    <w:next w:val="CommentText"/>
    <w:link w:val="CommentSubjectChar"/>
    <w:semiHidden/>
    <w:unhideWhenUsed/>
    <w:rsid w:val="004F48EE"/>
    <w:rPr>
      <w:b/>
      <w:bCs/>
    </w:rPr>
  </w:style>
  <w:style w:type="character" w:customStyle="1" w:styleId="CommentSubjectChar">
    <w:name w:val="Comment Subject Char"/>
    <w:basedOn w:val="CommentTextChar"/>
    <w:link w:val="CommentSubject"/>
    <w:semiHidden/>
    <w:rsid w:val="004F4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8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stancemisuse-queries@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28404-75AA-4B9F-AB6A-4E1FE45A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2487</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Sally (DHSS - Substance Misuse)</dc:creator>
  <cp:keywords/>
  <dc:description/>
  <cp:lastModifiedBy>Elizabeth Walsh (DHCW - Information Services)</cp:lastModifiedBy>
  <cp:revision>2</cp:revision>
  <dcterms:created xsi:type="dcterms:W3CDTF">2021-06-16T07:15:00Z</dcterms:created>
  <dcterms:modified xsi:type="dcterms:W3CDTF">2021-06-16T07:15:00Z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A11231816</vt:lpwstr>
  </property>
  <property fmtid="{D5CDD505-2E9C-101B-9397-08002B2CF9AE}" pid="4" name="Objective-Title">
    <vt:lpwstr>2015 Substance Misuse KPI Guidance FINAL</vt:lpwstr>
  </property>
  <property fmtid="{D5CDD505-2E9C-101B-9397-08002B2CF9AE}" pid="5" name="Objective-Comment">
    <vt:lpwstr/>
  </property>
  <property fmtid="{D5CDD505-2E9C-101B-9397-08002B2CF9AE}" pid="6" name="Objective-CreationStamp">
    <vt:filetime>2015-06-26T10:09:22Z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2015-06-30T17:10:33Z</vt:filetime>
  </property>
  <property fmtid="{D5CDD505-2E9C-101B-9397-08002B2CF9AE}" pid="10" name="Objective-ModificationStamp">
    <vt:filetime>2015-07-01T09:04:25Z</vt:filetime>
  </property>
  <property fmtid="{D5CDD505-2E9C-101B-9397-08002B2CF9AE}" pid="11" name="Objective-Owner">
    <vt:lpwstr>Thompson, Sally (DHSSC - MH&amp;VG)</vt:lpwstr>
  </property>
  <property fmtid="{D5CDD505-2E9C-101B-9397-08002B2CF9AE}" pid="12" name="Objective-Path">
    <vt:lpwstr>Objective Global Folder:Corporate File Plan:WORKING WITH STAKEHOLDERS:Grant &amp; Funding Management:Grant &amp; Funding Management - Life in the Community:Substance Misuse - Capital:Meeting Agenda, Minutes &amp; Papers:Health Solution Wales - All Wales Substance Mis</vt:lpwstr>
  </property>
  <property fmtid="{D5CDD505-2E9C-101B-9397-08002B2CF9AE}" pid="13" name="Objective-Parent">
    <vt:lpwstr>Finalised Guidance Documentation - 2015</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2015-06-25T23:00:00Z</vt:filetime>
  </property>
  <property fmtid="{D5CDD505-2E9C-101B-9397-08002B2CF9AE}" pid="23" name="Objective-What to Keep [system]">
    <vt:lpwstr>No</vt:lpwstr>
  </property>
  <property fmtid="{D5CDD505-2E9C-101B-9397-08002B2CF9AE}" pid="24" name="Objective-Official Translation [system]">
    <vt:lpwstr/>
  </property>
</Properties>
</file>